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77FA" w:rsidRPr="00AD4D61" w:rsidRDefault="003C3D00" w:rsidP="00AD4D61">
      <w:pPr>
        <w:jc w:val="center"/>
        <w:rPr>
          <w:rFonts w:ascii="Times New Roman" w:hAnsi="Times New Roman" w:cs="Times New Roman"/>
          <w:b/>
        </w:rPr>
      </w:pPr>
      <w:r w:rsidRPr="00AD4D61">
        <w:rPr>
          <w:rFonts w:ascii="Times New Roman" w:hAnsi="Times New Roman" w:cs="Times New Roman"/>
          <w:b/>
        </w:rPr>
        <w:t>План на урок за четивна стратегия</w:t>
      </w:r>
    </w:p>
    <w:p w:rsidR="00AD4D61" w:rsidRPr="00AD4D61" w:rsidRDefault="00AD4D61">
      <w:pPr>
        <w:rPr>
          <w:rFonts w:ascii="Times New Roman" w:hAnsi="Times New Roman" w:cs="Times New Roman"/>
        </w:rPr>
      </w:pPr>
      <w:r>
        <w:rPr>
          <w:rFonts w:ascii="Times New Roman" w:hAnsi="Times New Roman" w:cs="Times New Roman"/>
        </w:rPr>
        <w:t>Урокът е подходящ за всеки клас в гимназиална степен. Поради дължината на използваните текстове не е подходящ за прогимназиална степен.</w:t>
      </w:r>
    </w:p>
    <w:p w:rsidR="003C3D00" w:rsidRPr="00AD4D61" w:rsidRDefault="003C3D00">
      <w:pPr>
        <w:rPr>
          <w:rFonts w:ascii="Times New Roman" w:hAnsi="Times New Roman" w:cs="Times New Roman"/>
        </w:rPr>
      </w:pPr>
      <w:r w:rsidRPr="00AD4D61">
        <w:rPr>
          <w:rFonts w:ascii="Times New Roman" w:hAnsi="Times New Roman" w:cs="Times New Roman"/>
          <w:b/>
        </w:rPr>
        <w:t>Цел на урок:</w:t>
      </w:r>
      <w:r w:rsidRPr="00AD4D61">
        <w:rPr>
          <w:rFonts w:ascii="Times New Roman" w:hAnsi="Times New Roman" w:cs="Times New Roman"/>
        </w:rPr>
        <w:t xml:space="preserve"> </w:t>
      </w:r>
      <w:r w:rsidRPr="00AD4D61">
        <w:rPr>
          <w:rFonts w:ascii="Times New Roman" w:hAnsi="Times New Roman" w:cs="Times New Roman"/>
        </w:rPr>
        <w:t xml:space="preserve">Учениците прилагат </w:t>
      </w:r>
      <w:proofErr w:type="spellStart"/>
      <w:r w:rsidRPr="00AD4D61">
        <w:rPr>
          <w:rFonts w:ascii="Times New Roman" w:hAnsi="Times New Roman" w:cs="Times New Roman"/>
          <w:lang w:val="en-US"/>
        </w:rPr>
        <w:t>Frayer</w:t>
      </w:r>
      <w:proofErr w:type="spellEnd"/>
      <w:r w:rsidRPr="00AD4D61">
        <w:rPr>
          <w:rFonts w:ascii="Times New Roman" w:hAnsi="Times New Roman" w:cs="Times New Roman"/>
        </w:rPr>
        <w:t xml:space="preserve"> </w:t>
      </w:r>
      <w:r w:rsidRPr="00AD4D61">
        <w:rPr>
          <w:rFonts w:ascii="Times New Roman" w:hAnsi="Times New Roman" w:cs="Times New Roman"/>
          <w:lang w:val="en-US"/>
        </w:rPr>
        <w:t>model</w:t>
      </w:r>
      <w:r w:rsidRPr="00AD4D61">
        <w:rPr>
          <w:rFonts w:ascii="Times New Roman" w:hAnsi="Times New Roman" w:cs="Times New Roman"/>
        </w:rPr>
        <w:t xml:space="preserve"> </w:t>
      </w:r>
      <w:proofErr w:type="spellStart"/>
      <w:r w:rsidRPr="00AD4D61">
        <w:rPr>
          <w:rFonts w:ascii="Times New Roman" w:hAnsi="Times New Roman" w:cs="Times New Roman"/>
          <w:lang w:val="en-US"/>
        </w:rPr>
        <w:t>strategie</w:t>
      </w:r>
      <w:proofErr w:type="spellEnd"/>
      <w:r w:rsidRPr="00AD4D61">
        <w:rPr>
          <w:rFonts w:ascii="Times New Roman" w:hAnsi="Times New Roman" w:cs="Times New Roman"/>
        </w:rPr>
        <w:t xml:space="preserve"> към текст</w:t>
      </w:r>
    </w:p>
    <w:tbl>
      <w:tblPr>
        <w:tblStyle w:val="TableGrid"/>
        <w:tblW w:w="0" w:type="auto"/>
        <w:tblLook w:val="04A0" w:firstRow="1" w:lastRow="0" w:firstColumn="1" w:lastColumn="0" w:noHBand="0" w:noVBand="1"/>
      </w:tblPr>
      <w:tblGrid>
        <w:gridCol w:w="7063"/>
        <w:gridCol w:w="1999"/>
      </w:tblGrid>
      <w:tr w:rsidR="003C3D00" w:rsidRPr="00AD4D61" w:rsidTr="00AD4D61">
        <w:tc>
          <w:tcPr>
            <w:tcW w:w="7063" w:type="dxa"/>
          </w:tcPr>
          <w:p w:rsidR="003C3D00" w:rsidRPr="00AD4D61" w:rsidRDefault="003C3D00">
            <w:pPr>
              <w:rPr>
                <w:rFonts w:ascii="Times New Roman" w:hAnsi="Times New Roman" w:cs="Times New Roman"/>
              </w:rPr>
            </w:pPr>
          </w:p>
        </w:tc>
        <w:tc>
          <w:tcPr>
            <w:tcW w:w="1999" w:type="dxa"/>
          </w:tcPr>
          <w:p w:rsidR="003C3D00" w:rsidRPr="00AD4D61" w:rsidRDefault="003C3D00">
            <w:pPr>
              <w:rPr>
                <w:rFonts w:ascii="Times New Roman" w:hAnsi="Times New Roman" w:cs="Times New Roman"/>
              </w:rPr>
            </w:pPr>
            <w:r w:rsidRPr="00AD4D61">
              <w:rPr>
                <w:rFonts w:ascii="Times New Roman" w:hAnsi="Times New Roman" w:cs="Times New Roman"/>
              </w:rPr>
              <w:t>Необходими материали</w:t>
            </w:r>
          </w:p>
        </w:tc>
      </w:tr>
      <w:tr w:rsidR="003C3D00" w:rsidRPr="00AD4D61" w:rsidTr="00AD4D61">
        <w:tc>
          <w:tcPr>
            <w:tcW w:w="7063" w:type="dxa"/>
          </w:tcPr>
          <w:p w:rsidR="003C3D00" w:rsidRPr="00AD4D61" w:rsidRDefault="003C3D00">
            <w:pPr>
              <w:rPr>
                <w:rFonts w:ascii="Times New Roman" w:hAnsi="Times New Roman" w:cs="Times New Roman"/>
                <w:b/>
              </w:rPr>
            </w:pPr>
            <w:r w:rsidRPr="00AD4D61">
              <w:rPr>
                <w:rFonts w:ascii="Times New Roman" w:hAnsi="Times New Roman" w:cs="Times New Roman"/>
                <w:b/>
              </w:rPr>
              <w:t>Начало на урока</w:t>
            </w:r>
          </w:p>
          <w:p w:rsidR="003C3D00" w:rsidRPr="00AD4D61" w:rsidRDefault="003C3D00">
            <w:pPr>
              <w:rPr>
                <w:rFonts w:ascii="Times New Roman" w:hAnsi="Times New Roman" w:cs="Times New Roman"/>
              </w:rPr>
            </w:pPr>
            <w:r w:rsidRPr="00AD4D61">
              <w:rPr>
                <w:rFonts w:ascii="Times New Roman" w:hAnsi="Times New Roman" w:cs="Times New Roman"/>
              </w:rPr>
              <w:t xml:space="preserve">Учителят влиза в класната стая с малка торбичка с предмети. Обяснява на учениците, че ще играят игра. Вие ще вадите предмет от торбата. Ако предметът е плод, учениците трябва да се изправят от чиновете. Ако не е плод, да клекнат до чина. Играта продължава около минута с не повече от 5-6 плода. Идеята е учениците да се раздвижат, а учителят да има повод да говори с тях за това, че може да обясним даден обект както чрез това какво е, така и чрез описание какво не е той. </w:t>
            </w:r>
          </w:p>
        </w:tc>
        <w:tc>
          <w:tcPr>
            <w:tcW w:w="1999" w:type="dxa"/>
          </w:tcPr>
          <w:p w:rsidR="003C3D00" w:rsidRPr="00AD4D61" w:rsidRDefault="003C3D00">
            <w:pPr>
              <w:rPr>
                <w:rFonts w:ascii="Times New Roman" w:hAnsi="Times New Roman" w:cs="Times New Roman"/>
              </w:rPr>
            </w:pPr>
          </w:p>
          <w:p w:rsidR="003C3D00" w:rsidRPr="00AD4D61" w:rsidRDefault="003C3D00">
            <w:pPr>
              <w:rPr>
                <w:rFonts w:ascii="Times New Roman" w:hAnsi="Times New Roman" w:cs="Times New Roman"/>
              </w:rPr>
            </w:pPr>
            <w:r w:rsidRPr="00AD4D61">
              <w:rPr>
                <w:rFonts w:ascii="Times New Roman" w:hAnsi="Times New Roman" w:cs="Times New Roman"/>
              </w:rPr>
              <w:t>Торбичка</w:t>
            </w:r>
          </w:p>
          <w:p w:rsidR="003C3D00" w:rsidRPr="00AD4D61" w:rsidRDefault="003C3D00">
            <w:pPr>
              <w:rPr>
                <w:rFonts w:ascii="Times New Roman" w:hAnsi="Times New Roman" w:cs="Times New Roman"/>
              </w:rPr>
            </w:pPr>
            <w:r w:rsidRPr="00AD4D61">
              <w:rPr>
                <w:rFonts w:ascii="Times New Roman" w:hAnsi="Times New Roman" w:cs="Times New Roman"/>
              </w:rPr>
              <w:t>2-3 плода</w:t>
            </w:r>
          </w:p>
          <w:p w:rsidR="003C3D00" w:rsidRPr="00AD4D61" w:rsidRDefault="003C3D00">
            <w:pPr>
              <w:rPr>
                <w:rFonts w:ascii="Times New Roman" w:hAnsi="Times New Roman" w:cs="Times New Roman"/>
              </w:rPr>
            </w:pPr>
            <w:r w:rsidRPr="00AD4D61">
              <w:rPr>
                <w:rFonts w:ascii="Times New Roman" w:hAnsi="Times New Roman" w:cs="Times New Roman"/>
              </w:rPr>
              <w:t>Други предмети – задължително един зеленчук, но и съвсем различни предмети</w:t>
            </w:r>
          </w:p>
        </w:tc>
      </w:tr>
      <w:tr w:rsidR="003C3D00" w:rsidRPr="00AD4D61" w:rsidTr="00AD4D61">
        <w:tc>
          <w:tcPr>
            <w:tcW w:w="7063" w:type="dxa"/>
          </w:tcPr>
          <w:p w:rsidR="003C3D00" w:rsidRPr="00AD4D61" w:rsidRDefault="003C3D00">
            <w:pPr>
              <w:rPr>
                <w:rFonts w:ascii="Times New Roman" w:hAnsi="Times New Roman" w:cs="Times New Roman"/>
                <w:b/>
              </w:rPr>
            </w:pPr>
            <w:r w:rsidRPr="00AD4D61">
              <w:rPr>
                <w:rFonts w:ascii="Times New Roman" w:hAnsi="Times New Roman" w:cs="Times New Roman"/>
                <w:b/>
              </w:rPr>
              <w:t>Нов материал</w:t>
            </w:r>
          </w:p>
          <w:p w:rsidR="003C3D00" w:rsidRPr="00AD4D61" w:rsidRDefault="003C3D00">
            <w:pPr>
              <w:rPr>
                <w:rFonts w:ascii="Times New Roman" w:hAnsi="Times New Roman" w:cs="Times New Roman"/>
              </w:rPr>
            </w:pPr>
            <w:r w:rsidRPr="00AD4D61">
              <w:rPr>
                <w:rFonts w:ascii="Times New Roman" w:hAnsi="Times New Roman" w:cs="Times New Roman"/>
              </w:rPr>
              <w:t xml:space="preserve">На дъската се проектира примерен </w:t>
            </w:r>
            <w:proofErr w:type="spellStart"/>
            <w:r w:rsidRPr="00AD4D61">
              <w:rPr>
                <w:rFonts w:ascii="Times New Roman" w:hAnsi="Times New Roman" w:cs="Times New Roman"/>
                <w:lang w:val="en-US"/>
              </w:rPr>
              <w:t>Frayer</w:t>
            </w:r>
            <w:proofErr w:type="spellEnd"/>
            <w:r w:rsidRPr="00AD4D61">
              <w:rPr>
                <w:rFonts w:ascii="Times New Roman" w:hAnsi="Times New Roman" w:cs="Times New Roman"/>
                <w:lang w:val="en-US"/>
              </w:rPr>
              <w:t xml:space="preserve"> model</w:t>
            </w:r>
            <w:r w:rsidR="00965C15" w:rsidRPr="00AD4D61">
              <w:rPr>
                <w:rFonts w:ascii="Times New Roman" w:hAnsi="Times New Roman" w:cs="Times New Roman"/>
              </w:rPr>
              <w:t xml:space="preserve"> или се разчертава от учителя</w:t>
            </w:r>
            <w:r w:rsidRPr="00AD4D61">
              <w:rPr>
                <w:rFonts w:ascii="Times New Roman" w:hAnsi="Times New Roman" w:cs="Times New Roman"/>
              </w:rPr>
              <w:t>. Разясняват се отделните части.</w:t>
            </w:r>
          </w:p>
          <w:p w:rsidR="00965C15" w:rsidRPr="00AD4D61" w:rsidRDefault="00965C15">
            <w:pPr>
              <w:rPr>
                <w:rFonts w:ascii="Times New Roman" w:hAnsi="Times New Roman" w:cs="Times New Roman"/>
                <w:lang w:val="en-US"/>
              </w:rPr>
            </w:pPr>
          </w:p>
          <w:p w:rsidR="003C3D00" w:rsidRPr="00AD4D61" w:rsidRDefault="003C3D00">
            <w:pPr>
              <w:rPr>
                <w:rFonts w:ascii="Times New Roman" w:hAnsi="Times New Roman" w:cs="Times New Roman"/>
              </w:rPr>
            </w:pPr>
            <w:r w:rsidRPr="00AD4D61">
              <w:rPr>
                <w:rFonts w:ascii="Times New Roman" w:hAnsi="Times New Roman" w:cs="Times New Roman"/>
              </w:rPr>
              <w:t>Учениците записват план в тетрадките си.</w:t>
            </w:r>
          </w:p>
          <w:p w:rsidR="003C3D00" w:rsidRPr="00AD4D61" w:rsidRDefault="003C3D00" w:rsidP="003C3D00">
            <w:pPr>
              <w:jc w:val="both"/>
              <w:rPr>
                <w:rFonts w:ascii="Times New Roman" w:hAnsi="Times New Roman" w:cs="Times New Roman"/>
              </w:rPr>
            </w:pPr>
          </w:p>
          <w:p w:rsidR="003C3D00" w:rsidRPr="00AD4D61" w:rsidRDefault="003C3D00" w:rsidP="003C3D00">
            <w:pPr>
              <w:jc w:val="both"/>
              <w:rPr>
                <w:rFonts w:ascii="Times New Roman" w:hAnsi="Times New Roman" w:cs="Times New Roman"/>
              </w:rPr>
            </w:pPr>
            <w:r w:rsidRPr="00AD4D61">
              <w:rPr>
                <w:rFonts w:ascii="Times New Roman" w:hAnsi="Times New Roman" w:cs="Times New Roman"/>
              </w:rPr>
              <w:t>1.</w:t>
            </w:r>
            <w:r w:rsidRPr="00AD4D61">
              <w:rPr>
                <w:rFonts w:ascii="Times New Roman" w:hAnsi="Times New Roman" w:cs="Times New Roman"/>
              </w:rPr>
              <w:t>Модел за изучаване на нови понятия – елементи</w:t>
            </w:r>
          </w:p>
          <w:p w:rsidR="003C3D00" w:rsidRPr="00AD4D61" w:rsidRDefault="003C3D00" w:rsidP="003C3D00">
            <w:pPr>
              <w:jc w:val="both"/>
              <w:rPr>
                <w:rFonts w:ascii="Times New Roman" w:hAnsi="Times New Roman" w:cs="Times New Roman"/>
              </w:rPr>
            </w:pPr>
            <w:r w:rsidRPr="00AD4D61">
              <w:rPr>
                <w:rFonts w:ascii="Times New Roman" w:hAnsi="Times New Roman" w:cs="Times New Roman"/>
              </w:rPr>
              <w:t>1.1.</w:t>
            </w:r>
            <w:r w:rsidRPr="00AD4D61">
              <w:rPr>
                <w:rFonts w:ascii="Times New Roman" w:hAnsi="Times New Roman" w:cs="Times New Roman"/>
              </w:rPr>
              <w:t>понятие</w:t>
            </w:r>
          </w:p>
          <w:p w:rsidR="003C3D00" w:rsidRPr="00AD4D61" w:rsidRDefault="003C3D00" w:rsidP="003C3D00">
            <w:pPr>
              <w:jc w:val="both"/>
              <w:rPr>
                <w:rFonts w:ascii="Times New Roman" w:hAnsi="Times New Roman" w:cs="Times New Roman"/>
              </w:rPr>
            </w:pPr>
            <w:r w:rsidRPr="00AD4D61">
              <w:rPr>
                <w:rFonts w:ascii="Times New Roman" w:hAnsi="Times New Roman" w:cs="Times New Roman"/>
              </w:rPr>
              <w:t>1.2.</w:t>
            </w:r>
            <w:r w:rsidRPr="00AD4D61">
              <w:rPr>
                <w:rFonts w:ascii="Times New Roman" w:hAnsi="Times New Roman" w:cs="Times New Roman"/>
              </w:rPr>
              <w:t>дефиниция</w:t>
            </w:r>
          </w:p>
          <w:p w:rsidR="003C3D00" w:rsidRPr="00AD4D61" w:rsidRDefault="003C3D00" w:rsidP="003C3D00">
            <w:pPr>
              <w:jc w:val="both"/>
              <w:rPr>
                <w:rFonts w:ascii="Times New Roman" w:hAnsi="Times New Roman" w:cs="Times New Roman"/>
              </w:rPr>
            </w:pPr>
            <w:r w:rsidRPr="00AD4D61">
              <w:rPr>
                <w:rFonts w:ascii="Times New Roman" w:hAnsi="Times New Roman" w:cs="Times New Roman"/>
              </w:rPr>
              <w:t>1.3.</w:t>
            </w:r>
            <w:r w:rsidRPr="00AD4D61">
              <w:rPr>
                <w:rFonts w:ascii="Times New Roman" w:hAnsi="Times New Roman" w:cs="Times New Roman"/>
              </w:rPr>
              <w:t>характеристики/особености/отличителни черти</w:t>
            </w:r>
          </w:p>
          <w:p w:rsidR="003C3D00" w:rsidRPr="00AD4D61" w:rsidRDefault="003C3D00" w:rsidP="003C3D00">
            <w:pPr>
              <w:jc w:val="both"/>
              <w:rPr>
                <w:rFonts w:ascii="Times New Roman" w:hAnsi="Times New Roman" w:cs="Times New Roman"/>
              </w:rPr>
            </w:pPr>
            <w:r w:rsidRPr="00AD4D61">
              <w:rPr>
                <w:rFonts w:ascii="Times New Roman" w:hAnsi="Times New Roman" w:cs="Times New Roman"/>
              </w:rPr>
              <w:t>1.4.</w:t>
            </w:r>
            <w:r w:rsidRPr="00AD4D61">
              <w:rPr>
                <w:rFonts w:ascii="Times New Roman" w:hAnsi="Times New Roman" w:cs="Times New Roman"/>
              </w:rPr>
              <w:t>примери</w:t>
            </w:r>
          </w:p>
          <w:p w:rsidR="003C3D00" w:rsidRPr="00AD4D61" w:rsidRDefault="003C3D00" w:rsidP="003C3D00">
            <w:pPr>
              <w:rPr>
                <w:rFonts w:ascii="Times New Roman" w:hAnsi="Times New Roman" w:cs="Times New Roman"/>
              </w:rPr>
            </w:pPr>
            <w:r w:rsidRPr="00AD4D61">
              <w:rPr>
                <w:rFonts w:ascii="Times New Roman" w:hAnsi="Times New Roman" w:cs="Times New Roman"/>
              </w:rPr>
              <w:t>1.5.</w:t>
            </w:r>
            <w:r w:rsidRPr="00AD4D61">
              <w:rPr>
                <w:rFonts w:ascii="Times New Roman" w:hAnsi="Times New Roman" w:cs="Times New Roman"/>
              </w:rPr>
              <w:t>неща, които не са примери (с какво може да бъде объркано)</w:t>
            </w:r>
          </w:p>
        </w:tc>
        <w:tc>
          <w:tcPr>
            <w:tcW w:w="1999" w:type="dxa"/>
          </w:tcPr>
          <w:p w:rsidR="003C3D00" w:rsidRPr="00AD4D61" w:rsidRDefault="003C3D00">
            <w:pPr>
              <w:rPr>
                <w:rFonts w:ascii="Times New Roman" w:hAnsi="Times New Roman" w:cs="Times New Roman"/>
              </w:rPr>
            </w:pPr>
          </w:p>
          <w:p w:rsidR="00965C15" w:rsidRPr="00AD4D61" w:rsidRDefault="00965C15">
            <w:pPr>
              <w:rPr>
                <w:rFonts w:ascii="Times New Roman" w:hAnsi="Times New Roman" w:cs="Times New Roman"/>
              </w:rPr>
            </w:pPr>
            <w:r w:rsidRPr="00AD4D61">
              <w:rPr>
                <w:rFonts w:ascii="Times New Roman" w:hAnsi="Times New Roman" w:cs="Times New Roman"/>
              </w:rPr>
              <w:t>Дъска, маркер</w:t>
            </w:r>
          </w:p>
          <w:p w:rsidR="00965C15" w:rsidRPr="00AD4D61" w:rsidRDefault="00965C15">
            <w:pPr>
              <w:rPr>
                <w:rFonts w:ascii="Times New Roman" w:hAnsi="Times New Roman" w:cs="Times New Roman"/>
                <w:lang w:val="en-US"/>
              </w:rPr>
            </w:pPr>
            <w:r w:rsidRPr="00AD4D61">
              <w:rPr>
                <w:rFonts w:ascii="Times New Roman" w:hAnsi="Times New Roman" w:cs="Times New Roman"/>
                <w:lang w:val="en-US"/>
              </w:rPr>
              <w:t>(</w:t>
            </w:r>
            <w:r w:rsidRPr="00AD4D61">
              <w:rPr>
                <w:rFonts w:ascii="Times New Roman" w:hAnsi="Times New Roman" w:cs="Times New Roman"/>
              </w:rPr>
              <w:t>проектор, компютър</w:t>
            </w:r>
            <w:r w:rsidRPr="00AD4D61">
              <w:rPr>
                <w:rFonts w:ascii="Times New Roman" w:hAnsi="Times New Roman" w:cs="Times New Roman"/>
                <w:lang w:val="en-US"/>
              </w:rPr>
              <w:t>)</w:t>
            </w:r>
          </w:p>
          <w:p w:rsidR="00965C15" w:rsidRPr="00AD4D61" w:rsidRDefault="00965C15">
            <w:pPr>
              <w:rPr>
                <w:rFonts w:ascii="Times New Roman" w:hAnsi="Times New Roman" w:cs="Times New Roman"/>
                <w:lang w:val="en-US"/>
              </w:rPr>
            </w:pPr>
          </w:p>
          <w:p w:rsidR="00965C15" w:rsidRPr="00AD4D61" w:rsidRDefault="00965C15">
            <w:pPr>
              <w:rPr>
                <w:rFonts w:ascii="Times New Roman" w:hAnsi="Times New Roman" w:cs="Times New Roman"/>
              </w:rPr>
            </w:pPr>
          </w:p>
        </w:tc>
      </w:tr>
      <w:tr w:rsidR="003C3D00" w:rsidRPr="00AD4D61" w:rsidTr="00AD4D61">
        <w:tc>
          <w:tcPr>
            <w:tcW w:w="7063" w:type="dxa"/>
          </w:tcPr>
          <w:p w:rsidR="003C3D00" w:rsidRPr="00AD4D61" w:rsidRDefault="003C3D00">
            <w:pPr>
              <w:rPr>
                <w:rFonts w:ascii="Times New Roman" w:hAnsi="Times New Roman" w:cs="Times New Roman"/>
              </w:rPr>
            </w:pPr>
          </w:p>
          <w:p w:rsidR="00965C15" w:rsidRPr="00AD4D61" w:rsidRDefault="00965C15">
            <w:pPr>
              <w:rPr>
                <w:rFonts w:ascii="Times New Roman" w:hAnsi="Times New Roman" w:cs="Times New Roman"/>
                <w:b/>
              </w:rPr>
            </w:pPr>
            <w:r w:rsidRPr="00AD4D61">
              <w:rPr>
                <w:rFonts w:ascii="Times New Roman" w:hAnsi="Times New Roman" w:cs="Times New Roman"/>
                <w:b/>
              </w:rPr>
              <w:t>Упражнение, което да се направи заедно с учениците</w:t>
            </w:r>
          </w:p>
          <w:p w:rsidR="00965C15" w:rsidRPr="00AD4D61" w:rsidRDefault="00965C15">
            <w:pPr>
              <w:rPr>
                <w:rFonts w:ascii="Times New Roman" w:hAnsi="Times New Roman" w:cs="Times New Roman"/>
              </w:rPr>
            </w:pPr>
          </w:p>
          <w:p w:rsidR="00965C15" w:rsidRPr="00AD4D61" w:rsidRDefault="00965C15" w:rsidP="00965C15">
            <w:pPr>
              <w:jc w:val="both"/>
              <w:rPr>
                <w:rFonts w:ascii="Times New Roman" w:hAnsi="Times New Roman" w:cs="Times New Roman"/>
                <w:lang w:val="en-US"/>
              </w:rPr>
            </w:pPr>
            <w:r w:rsidRPr="00AD4D61">
              <w:rPr>
                <w:rFonts w:ascii="Times New Roman" w:hAnsi="Times New Roman" w:cs="Times New Roman"/>
              </w:rPr>
              <w:t>Текст за Сатурналиите. Прожектира се. Текстът се чете на глас от учениците и подчертаваме с различни линии нещата, които трябва да стоят в различните графи на таблицата.</w:t>
            </w:r>
            <w:r w:rsidRPr="00AD4D61">
              <w:rPr>
                <w:rFonts w:ascii="Times New Roman" w:hAnsi="Times New Roman" w:cs="Times New Roman"/>
              </w:rPr>
              <w:t xml:space="preserve"> </w:t>
            </w:r>
            <w:r w:rsidRPr="00AD4D61">
              <w:rPr>
                <w:rFonts w:ascii="Times New Roman" w:hAnsi="Times New Roman" w:cs="Times New Roman"/>
                <w:lang w:val="en-US"/>
              </w:rPr>
              <w:t>(</w:t>
            </w:r>
            <w:r w:rsidRPr="00AD4D61">
              <w:rPr>
                <w:rFonts w:ascii="Times New Roman" w:hAnsi="Times New Roman" w:cs="Times New Roman"/>
              </w:rPr>
              <w:t>тук са оцветени в различен цвят</w:t>
            </w:r>
            <w:r w:rsidRPr="00AD4D61">
              <w:rPr>
                <w:rFonts w:ascii="Times New Roman" w:hAnsi="Times New Roman" w:cs="Times New Roman"/>
                <w:lang w:val="en-US"/>
              </w:rPr>
              <w:t>)</w:t>
            </w:r>
          </w:p>
          <w:p w:rsidR="00965C15" w:rsidRPr="00AD4D61" w:rsidRDefault="00965C15" w:rsidP="00965C15">
            <w:pPr>
              <w:jc w:val="both"/>
              <w:rPr>
                <w:rFonts w:ascii="Times New Roman" w:hAnsi="Times New Roman" w:cs="Times New Roman"/>
              </w:rPr>
            </w:pPr>
            <w:r w:rsidRPr="00AD4D61">
              <w:rPr>
                <w:rFonts w:ascii="Times New Roman" w:hAnsi="Times New Roman" w:cs="Times New Roman"/>
              </w:rPr>
              <w:t>Жълто – дефиниция</w:t>
            </w:r>
          </w:p>
          <w:p w:rsidR="00965C15" w:rsidRPr="00AD4D61" w:rsidRDefault="00965C15" w:rsidP="00965C15">
            <w:pPr>
              <w:jc w:val="both"/>
              <w:rPr>
                <w:rFonts w:ascii="Times New Roman" w:hAnsi="Times New Roman" w:cs="Times New Roman"/>
              </w:rPr>
            </w:pPr>
            <w:r w:rsidRPr="00AD4D61">
              <w:rPr>
                <w:rFonts w:ascii="Times New Roman" w:hAnsi="Times New Roman" w:cs="Times New Roman"/>
              </w:rPr>
              <w:t>Зелено – характеристики</w:t>
            </w:r>
          </w:p>
          <w:p w:rsidR="00965C15" w:rsidRPr="00AD4D61" w:rsidRDefault="00965C15" w:rsidP="00965C15">
            <w:pPr>
              <w:jc w:val="both"/>
              <w:rPr>
                <w:rFonts w:ascii="Times New Roman" w:hAnsi="Times New Roman" w:cs="Times New Roman"/>
              </w:rPr>
            </w:pPr>
            <w:r w:rsidRPr="00AD4D61">
              <w:rPr>
                <w:rFonts w:ascii="Times New Roman" w:hAnsi="Times New Roman" w:cs="Times New Roman"/>
              </w:rPr>
              <w:t>Синьо – неща, които не са примери</w:t>
            </w:r>
          </w:p>
          <w:p w:rsidR="00965C15" w:rsidRPr="00AD4D61" w:rsidRDefault="00965C15">
            <w:pPr>
              <w:rPr>
                <w:rFonts w:ascii="Times New Roman" w:hAnsi="Times New Roman" w:cs="Times New Roman"/>
              </w:rPr>
            </w:pPr>
          </w:p>
          <w:p w:rsidR="00965C15" w:rsidRPr="00AD4D61" w:rsidRDefault="00965C15" w:rsidP="00965C15">
            <w:pPr>
              <w:pStyle w:val="NormalWeb"/>
              <w:shd w:val="clear" w:color="auto" w:fill="FFFFFF"/>
              <w:spacing w:before="0" w:beforeAutospacing="0" w:after="288" w:afterAutospacing="0" w:line="315" w:lineRule="atLeast"/>
              <w:rPr>
                <w:sz w:val="22"/>
                <w:szCs w:val="22"/>
              </w:rPr>
            </w:pPr>
            <w:r w:rsidRPr="00AD4D61">
              <w:rPr>
                <w:sz w:val="22"/>
                <w:szCs w:val="22"/>
              </w:rPr>
              <w:t xml:space="preserve">Сатурналии (лат. Saturnalia) — </w:t>
            </w:r>
            <w:r w:rsidRPr="00AD4D61">
              <w:rPr>
                <w:sz w:val="22"/>
                <w:szCs w:val="22"/>
                <w:highlight w:val="yellow"/>
              </w:rPr>
              <w:t>при древните римляни бил празникът в чест на Сатурн</w:t>
            </w:r>
            <w:r w:rsidRPr="00AD4D61">
              <w:rPr>
                <w:sz w:val="22"/>
                <w:szCs w:val="22"/>
              </w:rPr>
              <w:t xml:space="preserve">, с името на който жителите на Лациум свързвали земеделието и реколтата. </w:t>
            </w:r>
          </w:p>
          <w:p w:rsidR="00965C15" w:rsidRPr="00AD4D61" w:rsidRDefault="00965C15" w:rsidP="00965C15">
            <w:pPr>
              <w:rPr>
                <w:rFonts w:ascii="Times New Roman" w:hAnsi="Times New Roman" w:cs="Times New Roman"/>
              </w:rPr>
            </w:pPr>
            <w:r w:rsidRPr="00AD4D61">
              <w:rPr>
                <w:rFonts w:ascii="Times New Roman" w:hAnsi="Times New Roman" w:cs="Times New Roman"/>
                <w:highlight w:val="green"/>
              </w:rPr>
              <w:t>Честването протичало през втората половина на декември</w:t>
            </w:r>
            <w:r w:rsidRPr="00AD4D61">
              <w:rPr>
                <w:rFonts w:ascii="Times New Roman" w:hAnsi="Times New Roman" w:cs="Times New Roman"/>
              </w:rPr>
              <w:t xml:space="preserve"> - времето, когато завършвало жъненето. По времето на Сатурналиите /17 – 21 дек./</w:t>
            </w:r>
          </w:p>
          <w:p w:rsidR="00965C15" w:rsidRPr="00AD4D61" w:rsidRDefault="00965C15" w:rsidP="00965C15">
            <w:pPr>
              <w:pStyle w:val="NormalWeb"/>
              <w:shd w:val="clear" w:color="auto" w:fill="FFFFFF"/>
              <w:spacing w:before="0" w:beforeAutospacing="0" w:after="288" w:afterAutospacing="0" w:line="315" w:lineRule="atLeast"/>
              <w:rPr>
                <w:sz w:val="22"/>
                <w:szCs w:val="22"/>
              </w:rPr>
            </w:pPr>
            <w:r w:rsidRPr="00AD4D61">
              <w:rPr>
                <w:sz w:val="22"/>
                <w:szCs w:val="22"/>
                <w:highlight w:val="green"/>
              </w:rPr>
              <w:t>обществените работи били отменени, учениците не учили, забранено било да се наказват престъпниците.</w:t>
            </w:r>
            <w:r w:rsidRPr="00AD4D61">
              <w:rPr>
                <w:sz w:val="22"/>
                <w:szCs w:val="22"/>
              </w:rPr>
              <w:t xml:space="preserve"> </w:t>
            </w:r>
            <w:r w:rsidRPr="00AD4D61">
              <w:rPr>
                <w:sz w:val="22"/>
                <w:szCs w:val="22"/>
                <w:highlight w:val="green"/>
              </w:rPr>
              <w:t>Робите</w:t>
            </w:r>
            <w:r w:rsidRPr="00AD4D61">
              <w:rPr>
                <w:sz w:val="22"/>
                <w:szCs w:val="22"/>
              </w:rPr>
              <w:t xml:space="preserve"> през това време получавали допълнителни привилегии - те </w:t>
            </w:r>
            <w:r w:rsidRPr="00AD4D61">
              <w:rPr>
                <w:sz w:val="22"/>
                <w:szCs w:val="22"/>
                <w:highlight w:val="green"/>
              </w:rPr>
              <w:t>се освобождавали от повседневните си</w:t>
            </w:r>
            <w:r w:rsidRPr="00AD4D61">
              <w:rPr>
                <w:sz w:val="22"/>
                <w:szCs w:val="22"/>
              </w:rPr>
              <w:t xml:space="preserve"> </w:t>
            </w:r>
            <w:r w:rsidRPr="00AD4D61">
              <w:rPr>
                <w:sz w:val="22"/>
                <w:szCs w:val="22"/>
                <w:highlight w:val="green"/>
              </w:rPr>
              <w:t>занимания</w:t>
            </w:r>
            <w:r w:rsidRPr="00AD4D61">
              <w:rPr>
                <w:sz w:val="22"/>
                <w:szCs w:val="22"/>
              </w:rPr>
              <w:t>, могли да носят pilleus /шапка-символ на освобождаването/, могли да се хранят от трапезата на господарите си и да носят техните дрехи и дори да ги командват.</w:t>
            </w:r>
            <w:r w:rsidRPr="00AD4D61">
              <w:rPr>
                <w:rStyle w:val="apple-converted-space"/>
                <w:color w:val="3B3B3B"/>
                <w:sz w:val="22"/>
                <w:szCs w:val="22"/>
              </w:rPr>
              <w:t> </w:t>
            </w:r>
            <w:r w:rsidRPr="00AD4D61">
              <w:rPr>
                <w:sz w:val="22"/>
                <w:szCs w:val="22"/>
              </w:rPr>
              <w:br/>
              <w:t xml:space="preserve">Съществували своеобразни 'закони за провеждането на Сатурналиите', които </w:t>
            </w:r>
            <w:r w:rsidRPr="00AD4D61">
              <w:rPr>
                <w:sz w:val="22"/>
                <w:szCs w:val="22"/>
                <w:highlight w:val="green"/>
              </w:rPr>
              <w:t xml:space="preserve">не позволявали да се произнасят никакви други речи освен </w:t>
            </w:r>
            <w:r w:rsidRPr="00AD4D61">
              <w:rPr>
                <w:sz w:val="22"/>
                <w:szCs w:val="22"/>
                <w:highlight w:val="green"/>
              </w:rPr>
              <w:lastRenderedPageBreak/>
              <w:t>хумористични и забавни такива</w:t>
            </w:r>
            <w:r w:rsidRPr="00AD4D61">
              <w:rPr>
                <w:sz w:val="22"/>
                <w:szCs w:val="22"/>
              </w:rPr>
              <w:t>. Задължителна традиция била да се подаряват подаръци. При това богатите трябвало да подаряват на бедните, а на учените хора трябвало да се правят подаръци в двоен размер. Така писал за сатурналиите известният античен сатирик Лукиан.</w:t>
            </w:r>
            <w:r w:rsidRPr="00AD4D61">
              <w:rPr>
                <w:rStyle w:val="apple-converted-space"/>
                <w:color w:val="3B3B3B"/>
                <w:sz w:val="22"/>
                <w:szCs w:val="22"/>
              </w:rPr>
              <w:t> </w:t>
            </w:r>
            <w:r w:rsidRPr="00AD4D61">
              <w:rPr>
                <w:sz w:val="22"/>
                <w:szCs w:val="22"/>
              </w:rPr>
              <w:br/>
            </w:r>
            <w:r w:rsidRPr="00AD4D61">
              <w:rPr>
                <w:sz w:val="22"/>
                <w:szCs w:val="22"/>
              </w:rPr>
              <w:br/>
              <w:t xml:space="preserve">Друг зимен празничен цикъл в живота на Древен Рим са </w:t>
            </w:r>
            <w:r w:rsidRPr="00AD4D61">
              <w:rPr>
                <w:sz w:val="22"/>
                <w:szCs w:val="22"/>
                <w:highlight w:val="blue"/>
              </w:rPr>
              <w:t>Луперкалиите</w:t>
            </w:r>
            <w:r w:rsidRPr="00AD4D61">
              <w:rPr>
                <w:sz w:val="22"/>
                <w:szCs w:val="22"/>
              </w:rPr>
              <w:t xml:space="preserve"> – празникът на изобилието, провеждани на 15 февруали. Те са предшественикът на съвременния празник Свети Валентин.</w:t>
            </w:r>
          </w:p>
          <w:p w:rsidR="00965C15" w:rsidRPr="00AD4D61" w:rsidRDefault="00965C15" w:rsidP="00965C15">
            <w:pPr>
              <w:rPr>
                <w:rFonts w:ascii="Times New Roman" w:hAnsi="Times New Roman" w:cs="Times New Roman"/>
              </w:rPr>
            </w:pPr>
          </w:p>
        </w:tc>
        <w:tc>
          <w:tcPr>
            <w:tcW w:w="1999" w:type="dxa"/>
          </w:tcPr>
          <w:p w:rsidR="003C3D00" w:rsidRPr="00AD4D61" w:rsidRDefault="003C3D00">
            <w:pPr>
              <w:rPr>
                <w:rFonts w:ascii="Times New Roman" w:hAnsi="Times New Roman" w:cs="Times New Roman"/>
              </w:rPr>
            </w:pPr>
          </w:p>
          <w:p w:rsidR="00965C15" w:rsidRPr="00AD4D61" w:rsidRDefault="00965C15">
            <w:pPr>
              <w:rPr>
                <w:rFonts w:ascii="Times New Roman" w:hAnsi="Times New Roman" w:cs="Times New Roman"/>
              </w:rPr>
            </w:pPr>
          </w:p>
          <w:p w:rsidR="00965C15" w:rsidRPr="00AD4D61" w:rsidRDefault="00965C15">
            <w:pPr>
              <w:rPr>
                <w:rFonts w:ascii="Times New Roman" w:hAnsi="Times New Roman" w:cs="Times New Roman"/>
              </w:rPr>
            </w:pPr>
            <w:r w:rsidRPr="00AD4D61">
              <w:rPr>
                <w:rFonts w:ascii="Times New Roman" w:hAnsi="Times New Roman" w:cs="Times New Roman"/>
              </w:rPr>
              <w:t xml:space="preserve">Дъска, компютър, проектор, маркер за подчертаване </w:t>
            </w:r>
            <w:r w:rsidRPr="00AD4D61">
              <w:rPr>
                <w:rFonts w:ascii="Times New Roman" w:hAnsi="Times New Roman" w:cs="Times New Roman"/>
                <w:lang w:val="en-US"/>
              </w:rPr>
              <w:t>(</w:t>
            </w:r>
            <w:r w:rsidRPr="00AD4D61">
              <w:rPr>
                <w:rFonts w:ascii="Times New Roman" w:hAnsi="Times New Roman" w:cs="Times New Roman"/>
              </w:rPr>
              <w:t>един цвят</w:t>
            </w:r>
            <w:r w:rsidRPr="00AD4D61">
              <w:rPr>
                <w:rFonts w:ascii="Times New Roman" w:hAnsi="Times New Roman" w:cs="Times New Roman"/>
                <w:lang w:val="en-US"/>
              </w:rPr>
              <w:t>)</w:t>
            </w:r>
          </w:p>
        </w:tc>
      </w:tr>
      <w:tr w:rsidR="003C3D00" w:rsidRPr="00AD4D61" w:rsidTr="00AD4D61">
        <w:tc>
          <w:tcPr>
            <w:tcW w:w="7063" w:type="dxa"/>
          </w:tcPr>
          <w:p w:rsidR="003C3D00" w:rsidRPr="00AD4D61" w:rsidRDefault="00965C15">
            <w:pPr>
              <w:rPr>
                <w:rFonts w:ascii="Times New Roman" w:hAnsi="Times New Roman" w:cs="Times New Roman"/>
                <w:b/>
              </w:rPr>
            </w:pPr>
            <w:r w:rsidRPr="00AD4D61">
              <w:rPr>
                <w:rFonts w:ascii="Times New Roman" w:hAnsi="Times New Roman" w:cs="Times New Roman"/>
                <w:b/>
              </w:rPr>
              <w:lastRenderedPageBreak/>
              <w:t>Упражнение, което учениците да направят самостоятелно</w:t>
            </w:r>
          </w:p>
          <w:p w:rsidR="00965C15" w:rsidRPr="00AD4D61" w:rsidRDefault="00965C15">
            <w:pPr>
              <w:rPr>
                <w:rFonts w:ascii="Times New Roman" w:hAnsi="Times New Roman" w:cs="Times New Roman"/>
              </w:rPr>
            </w:pPr>
          </w:p>
          <w:p w:rsidR="00965C15" w:rsidRPr="00AD4D61" w:rsidRDefault="00965C15" w:rsidP="00965C15">
            <w:pPr>
              <w:jc w:val="both"/>
              <w:rPr>
                <w:rFonts w:ascii="Times New Roman" w:hAnsi="Times New Roman" w:cs="Times New Roman"/>
                <w:lang w:val="ru-RU"/>
              </w:rPr>
            </w:pPr>
            <w:r w:rsidRPr="00AD4D61">
              <w:rPr>
                <w:rFonts w:ascii="Times New Roman" w:hAnsi="Times New Roman" w:cs="Times New Roman"/>
                <w:lang w:val="ru-RU"/>
              </w:rPr>
              <w:t>Работа по групи (4 бр, заради четирите части на модела). Получават текст. Първо трябва да го прочетат самостоятел</w:t>
            </w:r>
            <w:r w:rsidRPr="00AD4D61">
              <w:rPr>
                <w:rFonts w:ascii="Times New Roman" w:hAnsi="Times New Roman" w:cs="Times New Roman"/>
                <w:lang w:val="ru-RU"/>
              </w:rPr>
              <w:t>но текста.</w:t>
            </w:r>
            <w:r w:rsidRPr="00AD4D61">
              <w:rPr>
                <w:rFonts w:ascii="Times New Roman" w:hAnsi="Times New Roman" w:cs="Times New Roman"/>
                <w:lang w:val="ru-RU"/>
              </w:rPr>
              <w:t xml:space="preserve"> После попъ</w:t>
            </w:r>
            <w:r w:rsidRPr="00AD4D61">
              <w:rPr>
                <w:rFonts w:ascii="Times New Roman" w:hAnsi="Times New Roman" w:cs="Times New Roman"/>
                <w:lang w:val="ru-RU"/>
              </w:rPr>
              <w:t>лват своя модел на Фрайер за</w:t>
            </w:r>
            <w:r w:rsidRPr="00AD4D61">
              <w:rPr>
                <w:rFonts w:ascii="Times New Roman" w:hAnsi="Times New Roman" w:cs="Times New Roman"/>
                <w:lang w:val="ru-RU"/>
              </w:rPr>
              <w:t xml:space="preserve"> 2 мин. (трябва да има поне по два примера и три характеристики;</w:t>
            </w:r>
            <w:r w:rsidRPr="00AD4D61">
              <w:rPr>
                <w:rFonts w:ascii="Times New Roman" w:hAnsi="Times New Roman" w:cs="Times New Roman"/>
                <w:lang w:val="ru-RU"/>
              </w:rPr>
              <w:t xml:space="preserve"> </w:t>
            </w:r>
            <w:r w:rsidRPr="00AD4D61">
              <w:rPr>
                <w:rFonts w:ascii="Times New Roman" w:hAnsi="Times New Roman" w:cs="Times New Roman"/>
                <w:lang w:val="ru-RU"/>
              </w:rPr>
              <w:t>може да няма непримери). Обсъждат работата си и попълват групов модел на Фрайер.</w:t>
            </w:r>
          </w:p>
          <w:p w:rsidR="00965C15" w:rsidRPr="00AD4D61" w:rsidRDefault="00965C15" w:rsidP="00965C15">
            <w:pPr>
              <w:jc w:val="both"/>
              <w:rPr>
                <w:rFonts w:ascii="Times New Roman" w:hAnsi="Times New Roman" w:cs="Times New Roman"/>
                <w:lang w:val="ru-RU"/>
              </w:rPr>
            </w:pPr>
            <w:r w:rsidRPr="00AD4D61">
              <w:rPr>
                <w:rFonts w:ascii="Times New Roman" w:hAnsi="Times New Roman" w:cs="Times New Roman"/>
                <w:lang w:val="ru-RU"/>
              </w:rPr>
              <w:t>Тук са оцветени някои части от текста, които могат да помогнат на учителя да провери работата на учениците, но самият текст предлага и други възможни</w:t>
            </w:r>
            <w:r w:rsidR="00AD4D61" w:rsidRPr="00AD4D61">
              <w:rPr>
                <w:rFonts w:ascii="Times New Roman" w:hAnsi="Times New Roman" w:cs="Times New Roman"/>
                <w:lang w:val="ru-RU"/>
              </w:rPr>
              <w:t xml:space="preserve"> отговори.</w:t>
            </w:r>
          </w:p>
          <w:p w:rsidR="00965C15" w:rsidRPr="00AD4D61" w:rsidRDefault="00965C15" w:rsidP="00965C15">
            <w:pPr>
              <w:jc w:val="both"/>
              <w:rPr>
                <w:rFonts w:ascii="Times New Roman" w:hAnsi="Times New Roman" w:cs="Times New Roman"/>
                <w:lang w:val="ru-RU"/>
              </w:rPr>
            </w:pPr>
          </w:p>
          <w:p w:rsidR="00965C15" w:rsidRPr="00AD4D61" w:rsidRDefault="00965C15" w:rsidP="00965C15">
            <w:pPr>
              <w:pStyle w:val="NormalWeb"/>
              <w:shd w:val="clear" w:color="auto" w:fill="FFFFFF"/>
              <w:spacing w:before="0" w:beforeAutospacing="0" w:after="288" w:afterAutospacing="0" w:line="330" w:lineRule="atLeast"/>
              <w:jc w:val="center"/>
              <w:rPr>
                <w:color w:val="3B3B3B"/>
                <w:sz w:val="22"/>
                <w:szCs w:val="22"/>
              </w:rPr>
            </w:pPr>
            <w:r w:rsidRPr="00AD4D61">
              <w:rPr>
                <w:rStyle w:val="Strong"/>
                <w:color w:val="3B3B3B"/>
                <w:sz w:val="22"/>
                <w:szCs w:val="22"/>
              </w:rPr>
              <w:t>Какво е „погранични земи“?</w:t>
            </w:r>
            <w:bookmarkStart w:id="0" w:name="_ftnref5"/>
            <w:r w:rsidRPr="00AD4D61">
              <w:rPr>
                <w:rStyle w:val="Strong"/>
                <w:color w:val="3B3B3B"/>
                <w:sz w:val="22"/>
                <w:szCs w:val="22"/>
              </w:rPr>
              <w:fldChar w:fldCharType="begin"/>
            </w:r>
            <w:r w:rsidRPr="00AD4D61">
              <w:rPr>
                <w:rStyle w:val="Strong"/>
                <w:color w:val="3B3B3B"/>
                <w:sz w:val="22"/>
                <w:szCs w:val="22"/>
              </w:rPr>
              <w:instrText xml:space="preserve"> HYPERLINK "http://www.nauka.bg/a/%D0%B3%D1%80%D0%BE%D0%B1%D0%B8%D1%89%D0%B5-%D0%B7%D0%B0-%D0%B8%D0%BC%D0%BF%D0%B5%D1%80%D0%B8%D0%B8" \l "_ftn5" \o "" </w:instrText>
            </w:r>
            <w:r w:rsidRPr="00AD4D61">
              <w:rPr>
                <w:rStyle w:val="Strong"/>
                <w:color w:val="3B3B3B"/>
                <w:sz w:val="22"/>
                <w:szCs w:val="22"/>
              </w:rPr>
              <w:fldChar w:fldCharType="separate"/>
            </w:r>
            <w:r w:rsidRPr="00AD4D61">
              <w:rPr>
                <w:rStyle w:val="Strong"/>
                <w:color w:val="3B3B3B"/>
                <w:sz w:val="22"/>
                <w:szCs w:val="22"/>
              </w:rPr>
              <w:fldChar w:fldCharType="end"/>
            </w:r>
            <w:bookmarkEnd w:id="0"/>
          </w:p>
          <w:p w:rsidR="00965C15" w:rsidRPr="00AD4D61" w:rsidRDefault="00965C15" w:rsidP="00965C15">
            <w:pPr>
              <w:pStyle w:val="NormalWeb"/>
              <w:shd w:val="clear" w:color="auto" w:fill="FFFFFF"/>
              <w:spacing w:before="0" w:beforeAutospacing="0" w:after="288" w:afterAutospacing="0" w:line="330" w:lineRule="atLeast"/>
              <w:rPr>
                <w:color w:val="3B3B3B"/>
                <w:sz w:val="22"/>
                <w:szCs w:val="22"/>
              </w:rPr>
            </w:pPr>
            <w:r w:rsidRPr="00AD4D61">
              <w:rPr>
                <w:color w:val="3B3B3B"/>
                <w:sz w:val="22"/>
                <w:szCs w:val="22"/>
              </w:rPr>
              <w:t xml:space="preserve">         Терминът „Frontier” използван в англоезичната литература за да обозначи територията, която се намира на ръба на цивилизациите е изключително комплексен. Буквалният превод „граница“ е неподходящ, тъй като предполага една строго фиксирана зона от няколко километра, която разделя две държави. Погранични земи е далеч по-подходящ превод, тъй като предполага един по-обширен географски и политически ареал. Пограничните земи са феномен който обикновено се наблюдава в </w:t>
            </w:r>
            <w:r w:rsidRPr="00AD4D61">
              <w:rPr>
                <w:color w:val="3B3B3B"/>
                <w:sz w:val="22"/>
                <w:szCs w:val="22"/>
                <w:highlight w:val="yellow"/>
              </w:rPr>
              <w:t>периферията на сбор от държавни формирования, на по-големи държавни образования или на границата между две империи.</w:t>
            </w:r>
            <w:r w:rsidRPr="00AD4D61">
              <w:rPr>
                <w:color w:val="3B3B3B"/>
                <w:sz w:val="22"/>
                <w:szCs w:val="22"/>
              </w:rPr>
              <w:t xml:space="preserve"> Типичен </w:t>
            </w:r>
            <w:r w:rsidRPr="00AD4D61">
              <w:rPr>
                <w:color w:val="3B3B3B"/>
                <w:sz w:val="22"/>
                <w:szCs w:val="22"/>
                <w:highlight w:val="cyan"/>
              </w:rPr>
              <w:t>пример за подобни зони са Мала Азия и Кавказ</w:t>
            </w:r>
            <w:r w:rsidRPr="00AD4D61">
              <w:rPr>
                <w:color w:val="3B3B3B"/>
                <w:sz w:val="22"/>
                <w:szCs w:val="22"/>
              </w:rPr>
              <w:t xml:space="preserve">, които се формират като погранични зони през Средновековието в контекста на Арабо-Византийските конфликти. </w:t>
            </w:r>
            <w:r w:rsidRPr="00AD4D61">
              <w:rPr>
                <w:color w:val="3B3B3B"/>
                <w:sz w:val="22"/>
                <w:szCs w:val="22"/>
                <w:highlight w:val="green"/>
              </w:rPr>
              <w:t>Характерно за пограничните земи (или зони) е сливането на културните и политически традиции на двете противостоящи си държави/цивилизации.</w:t>
            </w:r>
            <w:r w:rsidRPr="00AD4D61">
              <w:rPr>
                <w:color w:val="3B3B3B"/>
                <w:sz w:val="22"/>
                <w:szCs w:val="22"/>
                <w:highlight w:val="green"/>
              </w:rPr>
              <w:t xml:space="preserve"> </w:t>
            </w:r>
            <w:r w:rsidRPr="00AD4D61">
              <w:rPr>
                <w:color w:val="3B3B3B"/>
                <w:sz w:val="22"/>
                <w:szCs w:val="22"/>
                <w:highlight w:val="green"/>
              </w:rPr>
              <w:t>В</w:t>
            </w:r>
            <w:r w:rsidRPr="00AD4D61">
              <w:rPr>
                <w:color w:val="3B3B3B"/>
                <w:sz w:val="22"/>
                <w:szCs w:val="22"/>
              </w:rPr>
              <w:t xml:space="preserve"> горепосочените примери става въпрос за създаване на хибридни ислямо-християнски вярвания, както и на заемки и от византийската и от арабската традиции в политиката и примесването им с местни практики. Така се формира един комплекс от традиции, практики и идеи, които не могат да бъдат отделени едни от други и често са характеризирани като неортодоксални. За</w:t>
            </w:r>
            <w:r w:rsidRPr="00AD4D61">
              <w:rPr>
                <w:color w:val="3B3B3B"/>
                <w:sz w:val="22"/>
                <w:szCs w:val="22"/>
              </w:rPr>
              <w:t xml:space="preserve"> </w:t>
            </w:r>
            <w:r w:rsidRPr="00AD4D61">
              <w:rPr>
                <w:color w:val="3B3B3B"/>
                <w:sz w:val="22"/>
                <w:szCs w:val="22"/>
                <w:highlight w:val="green"/>
              </w:rPr>
              <w:t>хората</w:t>
            </w:r>
            <w:r w:rsidRPr="00AD4D61">
              <w:rPr>
                <w:color w:val="3B3B3B"/>
                <w:sz w:val="22"/>
                <w:szCs w:val="22"/>
              </w:rPr>
              <w:t xml:space="preserve">, живеещи в тези територии, </w:t>
            </w:r>
            <w:r w:rsidRPr="00AD4D61">
              <w:rPr>
                <w:color w:val="3B3B3B"/>
                <w:sz w:val="22"/>
                <w:szCs w:val="22"/>
                <w:highlight w:val="green"/>
              </w:rPr>
              <w:t>е характерно чувството за независимост,</w:t>
            </w:r>
            <w:r w:rsidRPr="00AD4D61">
              <w:rPr>
                <w:color w:val="3B3B3B"/>
                <w:sz w:val="22"/>
                <w:szCs w:val="22"/>
              </w:rPr>
              <w:t xml:space="preserve"> както и формирането на </w:t>
            </w:r>
            <w:r w:rsidRPr="00AD4D61">
              <w:rPr>
                <w:color w:val="3B3B3B"/>
                <w:sz w:val="22"/>
                <w:szCs w:val="22"/>
                <w:highlight w:val="green"/>
              </w:rPr>
              <w:t xml:space="preserve">специфичен начин </w:t>
            </w:r>
            <w:r w:rsidRPr="00AD4D61">
              <w:rPr>
                <w:color w:val="3B3B3B"/>
                <w:sz w:val="22"/>
                <w:szCs w:val="22"/>
                <w:highlight w:val="green"/>
              </w:rPr>
              <w:lastRenderedPageBreak/>
              <w:t>на поведение, базиран на идеите за чест, справедливост и кръвно братство.</w:t>
            </w:r>
            <w:r w:rsidRPr="00AD4D61">
              <w:rPr>
                <w:color w:val="3B3B3B"/>
                <w:sz w:val="22"/>
                <w:szCs w:val="22"/>
              </w:rPr>
              <w:t xml:space="preserve"> </w:t>
            </w:r>
          </w:p>
          <w:p w:rsidR="00965C15" w:rsidRPr="00AD4D61" w:rsidRDefault="00965C15" w:rsidP="00965C15">
            <w:pPr>
              <w:jc w:val="both"/>
              <w:rPr>
                <w:rFonts w:ascii="Times New Roman" w:hAnsi="Times New Roman" w:cs="Times New Roman"/>
                <w:lang w:val="ru-RU"/>
              </w:rPr>
            </w:pPr>
            <w:r w:rsidRPr="00AD4D61">
              <w:rPr>
                <w:rFonts w:ascii="Times New Roman" w:hAnsi="Times New Roman" w:cs="Times New Roman"/>
              </w:rPr>
              <w:t xml:space="preserve">Тъй като </w:t>
            </w:r>
            <w:r w:rsidRPr="00AD4D61">
              <w:rPr>
                <w:rFonts w:ascii="Times New Roman" w:hAnsi="Times New Roman" w:cs="Times New Roman"/>
                <w:highlight w:val="cyan"/>
              </w:rPr>
              <w:t>Централна Евразия</w:t>
            </w:r>
            <w:r w:rsidRPr="00AD4D61">
              <w:rPr>
                <w:rFonts w:ascii="Times New Roman" w:hAnsi="Times New Roman" w:cs="Times New Roman"/>
              </w:rPr>
              <w:t xml:space="preserve"> лежи в периферията на множество империи, голяма част от нея представлява една голяма погранична зона, където традициите на християнството, исляма в двете му основни форми, будизма и шаманизма се примесват в една уникална спойка, която формира характерен пограничен етос</w:t>
            </w:r>
            <w:bookmarkStart w:id="1" w:name="_ftnref7"/>
            <w:r w:rsidRPr="00AD4D61">
              <w:rPr>
                <w:rFonts w:ascii="Times New Roman" w:hAnsi="Times New Roman" w:cs="Times New Roman"/>
              </w:rPr>
              <w:fldChar w:fldCharType="begin"/>
            </w:r>
            <w:r w:rsidRPr="00AD4D61">
              <w:rPr>
                <w:rFonts w:ascii="Times New Roman" w:hAnsi="Times New Roman" w:cs="Times New Roman"/>
              </w:rPr>
              <w:instrText xml:space="preserve"> HYPERLINK "http://www.nauka.bg/a/%D0%B3%D1%80%D0%BE%D0%B1%D0%B8%D1%89%D0%B5-%D0%B7%D0%B0-%D0%B8%D0%BC%D0%BF%D0%B5%D1%80%D0%B8%D0%B8" \l "_ftn7" \o "" </w:instrText>
            </w:r>
            <w:r w:rsidRPr="00AD4D61">
              <w:rPr>
                <w:rFonts w:ascii="Times New Roman" w:hAnsi="Times New Roman" w:cs="Times New Roman"/>
              </w:rPr>
              <w:fldChar w:fldCharType="separate"/>
            </w:r>
            <w:r w:rsidRPr="00AD4D61">
              <w:rPr>
                <w:rFonts w:ascii="Times New Roman" w:hAnsi="Times New Roman" w:cs="Times New Roman"/>
              </w:rPr>
              <w:fldChar w:fldCharType="end"/>
            </w:r>
            <w:bookmarkEnd w:id="1"/>
            <w:r w:rsidRPr="00AD4D61">
              <w:rPr>
                <w:rStyle w:val="apple-converted-space"/>
                <w:rFonts w:ascii="Times New Roman" w:hAnsi="Times New Roman" w:cs="Times New Roman"/>
                <w:color w:val="3B3B3B"/>
              </w:rPr>
              <w:t> </w:t>
            </w:r>
            <w:r w:rsidRPr="00AD4D61">
              <w:rPr>
                <w:rFonts w:ascii="Times New Roman" w:hAnsi="Times New Roman" w:cs="Times New Roman"/>
              </w:rPr>
              <w:t xml:space="preserve">. Що се отнася до отношението между програничните общества и държавите, на преден план изпъква </w:t>
            </w:r>
            <w:r w:rsidRPr="00AD4D61">
              <w:rPr>
                <w:rFonts w:ascii="Times New Roman" w:hAnsi="Times New Roman" w:cs="Times New Roman"/>
                <w:highlight w:val="green"/>
              </w:rPr>
              <w:t>стремежа на пограничниците да се откъснат от контрола на заобикалящите ги държави и империи</w:t>
            </w:r>
            <w:r w:rsidRPr="00AD4D61">
              <w:rPr>
                <w:rFonts w:ascii="Times New Roman" w:hAnsi="Times New Roman" w:cs="Times New Roman"/>
              </w:rPr>
              <w:t>. Това води до една своеобразна</w:t>
            </w:r>
            <w:r w:rsidRPr="00AD4D61">
              <w:rPr>
                <w:rFonts w:ascii="Times New Roman" w:hAnsi="Times New Roman" w:cs="Times New Roman"/>
              </w:rPr>
              <w:t xml:space="preserve"> </w:t>
            </w:r>
            <w:r w:rsidRPr="00AD4D61">
              <w:rPr>
                <w:rFonts w:ascii="Times New Roman" w:hAnsi="Times New Roman" w:cs="Times New Roman"/>
              </w:rPr>
              <w:t>преходност на „верността“ на дадена погранична група към една или повече държави. Не е чудно тогава, че в два последователни конфликта едно и също погранично племе (или група) може да воюва на срещуположни страни за да запази собствените си интереси. Тази флуидност на верността прави окончателното покоряване на тези групи доста сложно, тъй като прекалената агресия рискува да предизвика пренасочването на пограничниците от влиянието на една сила към друга.</w:t>
            </w:r>
          </w:p>
          <w:p w:rsidR="00965C15" w:rsidRPr="00AD4D61" w:rsidRDefault="00965C15">
            <w:pPr>
              <w:rPr>
                <w:rFonts w:ascii="Times New Roman" w:hAnsi="Times New Roman" w:cs="Times New Roman"/>
              </w:rPr>
            </w:pPr>
          </w:p>
          <w:p w:rsidR="00965C15" w:rsidRPr="00AD4D61" w:rsidRDefault="00965C15">
            <w:pPr>
              <w:rPr>
                <w:rFonts w:ascii="Times New Roman" w:hAnsi="Times New Roman" w:cs="Times New Roman"/>
              </w:rPr>
            </w:pPr>
          </w:p>
        </w:tc>
        <w:tc>
          <w:tcPr>
            <w:tcW w:w="1999" w:type="dxa"/>
          </w:tcPr>
          <w:p w:rsidR="003C3D00" w:rsidRPr="00AD4D61" w:rsidRDefault="003C3D00">
            <w:pPr>
              <w:rPr>
                <w:rFonts w:ascii="Times New Roman" w:hAnsi="Times New Roman" w:cs="Times New Roman"/>
              </w:rPr>
            </w:pPr>
          </w:p>
          <w:p w:rsidR="00965C15" w:rsidRPr="00AD4D61" w:rsidRDefault="00965C15">
            <w:pPr>
              <w:rPr>
                <w:rFonts w:ascii="Times New Roman" w:hAnsi="Times New Roman" w:cs="Times New Roman"/>
              </w:rPr>
            </w:pPr>
          </w:p>
          <w:p w:rsidR="00965C15" w:rsidRPr="00AD4D61" w:rsidRDefault="00965C15">
            <w:pPr>
              <w:rPr>
                <w:rFonts w:ascii="Times New Roman" w:hAnsi="Times New Roman" w:cs="Times New Roman"/>
              </w:rPr>
            </w:pPr>
            <w:r w:rsidRPr="00AD4D61">
              <w:rPr>
                <w:rFonts w:ascii="Times New Roman" w:hAnsi="Times New Roman" w:cs="Times New Roman"/>
              </w:rPr>
              <w:t>Принтирани индивидуални таблици за всеки ученик</w:t>
            </w:r>
          </w:p>
          <w:p w:rsidR="00965C15" w:rsidRPr="00AD4D61" w:rsidRDefault="00965C15">
            <w:pPr>
              <w:rPr>
                <w:rFonts w:ascii="Times New Roman" w:hAnsi="Times New Roman" w:cs="Times New Roman"/>
              </w:rPr>
            </w:pPr>
            <w:r w:rsidRPr="00AD4D61">
              <w:rPr>
                <w:rFonts w:ascii="Times New Roman" w:hAnsi="Times New Roman" w:cs="Times New Roman"/>
              </w:rPr>
              <w:t>Четири големи модела, по един за всяка група</w:t>
            </w:r>
          </w:p>
          <w:p w:rsidR="00965C15" w:rsidRPr="00AD4D61" w:rsidRDefault="00965C15">
            <w:pPr>
              <w:rPr>
                <w:rFonts w:ascii="Times New Roman" w:hAnsi="Times New Roman" w:cs="Times New Roman"/>
              </w:rPr>
            </w:pPr>
            <w:r w:rsidRPr="00AD4D61">
              <w:rPr>
                <w:rFonts w:ascii="Times New Roman" w:hAnsi="Times New Roman" w:cs="Times New Roman"/>
              </w:rPr>
              <w:t>Текст за всеки ученик</w:t>
            </w:r>
          </w:p>
          <w:p w:rsidR="00965C15" w:rsidRPr="00AD4D61" w:rsidRDefault="00965C15">
            <w:pPr>
              <w:rPr>
                <w:rFonts w:ascii="Times New Roman" w:hAnsi="Times New Roman" w:cs="Times New Roman"/>
              </w:rPr>
            </w:pPr>
          </w:p>
        </w:tc>
      </w:tr>
      <w:tr w:rsidR="003C3D00" w:rsidRPr="00AD4D61" w:rsidTr="00AD4D61">
        <w:tc>
          <w:tcPr>
            <w:tcW w:w="7063" w:type="dxa"/>
          </w:tcPr>
          <w:p w:rsidR="003C3D00" w:rsidRPr="00AD4D61" w:rsidRDefault="00AD4D61">
            <w:pPr>
              <w:rPr>
                <w:rFonts w:ascii="Times New Roman" w:hAnsi="Times New Roman" w:cs="Times New Roman"/>
                <w:b/>
              </w:rPr>
            </w:pPr>
            <w:r w:rsidRPr="00AD4D61">
              <w:rPr>
                <w:rFonts w:ascii="Times New Roman" w:hAnsi="Times New Roman" w:cs="Times New Roman"/>
                <w:b/>
              </w:rPr>
              <w:lastRenderedPageBreak/>
              <w:t>Задача за проверка на усвояването на новия материал.</w:t>
            </w:r>
          </w:p>
          <w:p w:rsidR="00AD4D61" w:rsidRPr="00AD4D61" w:rsidRDefault="00AD4D61">
            <w:pPr>
              <w:rPr>
                <w:rFonts w:ascii="Times New Roman" w:hAnsi="Times New Roman" w:cs="Times New Roman"/>
              </w:rPr>
            </w:pPr>
          </w:p>
          <w:p w:rsidR="00AD4D61" w:rsidRPr="00AD4D61" w:rsidRDefault="00AD4D61" w:rsidP="00AD4D61">
            <w:pPr>
              <w:jc w:val="both"/>
              <w:rPr>
                <w:rFonts w:ascii="Times New Roman" w:hAnsi="Times New Roman" w:cs="Times New Roman"/>
              </w:rPr>
            </w:pPr>
            <w:r>
              <w:rPr>
                <w:rFonts w:ascii="Times New Roman" w:hAnsi="Times New Roman" w:cs="Times New Roman"/>
              </w:rPr>
              <w:t>Инструкция:</w:t>
            </w:r>
            <w:bookmarkStart w:id="2" w:name="_GoBack"/>
            <w:bookmarkEnd w:id="2"/>
            <w:r w:rsidRPr="00AD4D61">
              <w:rPr>
                <w:rFonts w:ascii="Times New Roman" w:hAnsi="Times New Roman" w:cs="Times New Roman"/>
              </w:rPr>
              <w:t>Прочетете дадения ви текст. Начертайте модела на Фрайер на гърба на листа и попълнете информацията в него. Поради спецификата на текста може да не попълвате графата за пример. Посочете поне 2 характеристики.</w:t>
            </w:r>
          </w:p>
          <w:p w:rsidR="00AD4D61" w:rsidRPr="00AD4D61" w:rsidRDefault="00AD4D61" w:rsidP="00AD4D61">
            <w:pPr>
              <w:jc w:val="both"/>
              <w:rPr>
                <w:rFonts w:ascii="Times New Roman" w:hAnsi="Times New Roman" w:cs="Times New Roman"/>
                <w:b/>
              </w:rPr>
            </w:pPr>
          </w:p>
          <w:p w:rsidR="00AD4D61" w:rsidRPr="00AD4D61" w:rsidRDefault="00AD4D61" w:rsidP="00AD4D61">
            <w:pPr>
              <w:pStyle w:val="NormalWeb"/>
              <w:shd w:val="clear" w:color="auto" w:fill="FFFFFF"/>
              <w:spacing w:before="0" w:beforeAutospacing="0" w:after="288" w:afterAutospacing="0" w:line="330" w:lineRule="atLeast"/>
              <w:jc w:val="center"/>
              <w:rPr>
                <w:color w:val="3B3B3B"/>
                <w:sz w:val="22"/>
                <w:szCs w:val="22"/>
              </w:rPr>
            </w:pPr>
            <w:r w:rsidRPr="00AD4D61">
              <w:rPr>
                <w:rStyle w:val="Strong"/>
                <w:color w:val="3B3B3B"/>
                <w:sz w:val="22"/>
                <w:szCs w:val="22"/>
              </w:rPr>
              <w:t>Какво е Централна Евразия?</w:t>
            </w:r>
          </w:p>
          <w:p w:rsidR="00AD4D61" w:rsidRPr="00AD4D61" w:rsidRDefault="00AD4D61" w:rsidP="00AD4D61">
            <w:pPr>
              <w:pStyle w:val="NormalWeb"/>
              <w:shd w:val="clear" w:color="auto" w:fill="FFFFFF"/>
              <w:spacing w:before="0" w:beforeAutospacing="0" w:after="288" w:afterAutospacing="0" w:line="330" w:lineRule="atLeast"/>
              <w:rPr>
                <w:color w:val="3B3B3B"/>
                <w:sz w:val="22"/>
                <w:szCs w:val="22"/>
              </w:rPr>
            </w:pPr>
            <w:r w:rsidRPr="00AD4D61">
              <w:rPr>
                <w:color w:val="3B3B3B"/>
                <w:sz w:val="22"/>
                <w:szCs w:val="22"/>
              </w:rPr>
              <w:t xml:space="preserve">         С термина Централна Евразия, в настоящата статия ще се разбират </w:t>
            </w:r>
            <w:r w:rsidRPr="00AD4D61">
              <w:rPr>
                <w:color w:val="3B3B3B"/>
                <w:sz w:val="22"/>
                <w:szCs w:val="22"/>
                <w:highlight w:val="yellow"/>
              </w:rPr>
              <w:t>териториите разположени между Черно море на запад и Тибет на изток.</w:t>
            </w:r>
            <w:r w:rsidRPr="00AD4D61">
              <w:rPr>
                <w:color w:val="3B3B3B"/>
                <w:sz w:val="22"/>
                <w:szCs w:val="22"/>
              </w:rPr>
              <w:t xml:space="preserve"> Те </w:t>
            </w:r>
            <w:r w:rsidRPr="00AD4D61">
              <w:rPr>
                <w:color w:val="3B3B3B"/>
                <w:sz w:val="22"/>
                <w:szCs w:val="22"/>
                <w:highlight w:val="green"/>
              </w:rPr>
              <w:t>обхващат разнообразни по климат, предимно планински райони, населявани още от дълбока древност от свободни, независими племена, кланове и родове, които трудно понасят съществуването на централизирана държава и се стремят да запазят максимална възможна автономия спрямо властовите центрове</w:t>
            </w:r>
            <w:hyperlink r:id="rId5" w:anchor="_ftn1" w:history="1"/>
            <w:r w:rsidRPr="00AD4D61">
              <w:rPr>
                <w:rStyle w:val="apple-converted-space"/>
                <w:color w:val="3B3B3B"/>
                <w:sz w:val="22"/>
                <w:szCs w:val="22"/>
                <w:highlight w:val="green"/>
              </w:rPr>
              <w:t> </w:t>
            </w:r>
            <w:r w:rsidRPr="00AD4D61">
              <w:rPr>
                <w:color w:val="3B3B3B"/>
                <w:sz w:val="22"/>
                <w:szCs w:val="22"/>
                <w:highlight w:val="green"/>
              </w:rPr>
              <w:t>.</w:t>
            </w:r>
            <w:r w:rsidRPr="00AD4D61">
              <w:rPr>
                <w:color w:val="3B3B3B"/>
                <w:sz w:val="22"/>
                <w:szCs w:val="22"/>
              </w:rPr>
              <w:t xml:space="preserve"> Защо Евразия? Тук искам ясно да отбележа, че терминологията </w:t>
            </w:r>
            <w:r w:rsidRPr="00AD4D61">
              <w:rPr>
                <w:color w:val="3B3B3B"/>
                <w:sz w:val="22"/>
                <w:szCs w:val="22"/>
                <w:highlight w:val="magenta"/>
              </w:rPr>
              <w:t>няма нищо общо с евразийството</w:t>
            </w:r>
            <w:r w:rsidRPr="00AD4D61">
              <w:rPr>
                <w:color w:val="3B3B3B"/>
                <w:sz w:val="22"/>
                <w:szCs w:val="22"/>
              </w:rPr>
              <w:t xml:space="preserve">, което е популярно идеологическо течение в Русия, което се стреми да фиксира мястото на тази страна като мост между културите на двата континента. Настоящата статия възприема идеята, че Европа и Азия образуват един </w:t>
            </w:r>
            <w:r w:rsidRPr="00AD4D61">
              <w:rPr>
                <w:color w:val="3B3B3B"/>
                <w:sz w:val="22"/>
                <w:szCs w:val="22"/>
                <w:highlight w:val="green"/>
              </w:rPr>
              <w:t>по-голям комплекс не само в географско,</w:t>
            </w:r>
            <w:r w:rsidRPr="00AD4D61">
              <w:rPr>
                <w:color w:val="3B3B3B"/>
                <w:sz w:val="22"/>
                <w:szCs w:val="22"/>
                <w:highlight w:val="green"/>
              </w:rPr>
              <w:t xml:space="preserve"> </w:t>
            </w:r>
            <w:r w:rsidRPr="00AD4D61">
              <w:rPr>
                <w:color w:val="3B3B3B"/>
                <w:sz w:val="22"/>
                <w:szCs w:val="22"/>
                <w:highlight w:val="green"/>
              </w:rPr>
              <w:t>но и в културно и политическо отношение.</w:t>
            </w:r>
            <w:r w:rsidRPr="00AD4D61">
              <w:rPr>
                <w:color w:val="3B3B3B"/>
                <w:sz w:val="22"/>
                <w:szCs w:val="22"/>
              </w:rPr>
              <w:t xml:space="preserve"> Излишно е да се навлиза в детайли относно това как големите културни и политически процеси започнали в единия край на Евразия засягат целия комплекс. Важното в случая е, че Европа и Азия са до такава степен свързани по между си, че изкуственото географско деление, наложено от европейците има малко общо с действителността. </w:t>
            </w:r>
          </w:p>
          <w:p w:rsidR="00AD4D61" w:rsidRPr="00AD4D61" w:rsidRDefault="00AD4D61" w:rsidP="00AD4D61">
            <w:pPr>
              <w:pStyle w:val="NormalWeb"/>
              <w:shd w:val="clear" w:color="auto" w:fill="FFFFFF"/>
              <w:spacing w:before="0" w:beforeAutospacing="0" w:after="288" w:afterAutospacing="0" w:line="330" w:lineRule="atLeast"/>
              <w:rPr>
                <w:b/>
                <w:color w:val="3B3B3B"/>
                <w:sz w:val="22"/>
                <w:szCs w:val="22"/>
              </w:rPr>
            </w:pPr>
            <w:r w:rsidRPr="00AD4D61">
              <w:rPr>
                <w:b/>
                <w:color w:val="3B3B3B"/>
                <w:sz w:val="22"/>
                <w:szCs w:val="22"/>
              </w:rPr>
              <w:lastRenderedPageBreak/>
              <w:t xml:space="preserve">Критериална матрица </w:t>
            </w:r>
            <w:r w:rsidRPr="00AD4D61">
              <w:rPr>
                <w:b/>
                <w:color w:val="3B3B3B"/>
                <w:sz w:val="22"/>
                <w:szCs w:val="22"/>
              </w:rPr>
              <w:t>за оценка на изпълнението на задачата</w:t>
            </w:r>
          </w:p>
          <w:tbl>
            <w:tblPr>
              <w:tblStyle w:val="TableGrid"/>
              <w:tblW w:w="0" w:type="auto"/>
              <w:tblLook w:val="01E0" w:firstRow="1" w:lastRow="1" w:firstColumn="1" w:lastColumn="1" w:noHBand="0" w:noVBand="0"/>
            </w:tblPr>
            <w:tblGrid>
              <w:gridCol w:w="1890"/>
              <w:gridCol w:w="1290"/>
              <w:gridCol w:w="1961"/>
              <w:gridCol w:w="1696"/>
            </w:tblGrid>
            <w:tr w:rsidR="00AD4D61" w:rsidRPr="00AD4D61" w:rsidTr="008E0F2D">
              <w:tc>
                <w:tcPr>
                  <w:tcW w:w="2414" w:type="dxa"/>
                </w:tcPr>
                <w:p w:rsidR="00AD4D61" w:rsidRPr="00AD4D61" w:rsidRDefault="00AD4D61" w:rsidP="00AD4D61">
                  <w:pPr>
                    <w:pStyle w:val="NormalWeb"/>
                    <w:spacing w:before="0" w:beforeAutospacing="0" w:after="288" w:afterAutospacing="0" w:line="330" w:lineRule="atLeast"/>
                    <w:rPr>
                      <w:color w:val="3B3B3B"/>
                      <w:sz w:val="22"/>
                      <w:szCs w:val="22"/>
                    </w:rPr>
                  </w:pPr>
                </w:p>
              </w:tc>
              <w:tc>
                <w:tcPr>
                  <w:tcW w:w="2414" w:type="dxa"/>
                </w:tcPr>
                <w:p w:rsidR="00AD4D61" w:rsidRPr="00AD4D61" w:rsidRDefault="00AD4D61" w:rsidP="00AD4D61">
                  <w:pPr>
                    <w:pStyle w:val="NormalWeb"/>
                    <w:spacing w:before="0" w:beforeAutospacing="0" w:after="288" w:afterAutospacing="0" w:line="330" w:lineRule="atLeast"/>
                    <w:rPr>
                      <w:color w:val="3B3B3B"/>
                      <w:sz w:val="22"/>
                      <w:szCs w:val="22"/>
                    </w:rPr>
                  </w:pPr>
                  <w:r w:rsidRPr="00AD4D61">
                    <w:rPr>
                      <w:color w:val="3B3B3B"/>
                      <w:sz w:val="22"/>
                      <w:szCs w:val="22"/>
                    </w:rPr>
                    <w:t>0</w:t>
                  </w:r>
                </w:p>
              </w:tc>
              <w:tc>
                <w:tcPr>
                  <w:tcW w:w="2415" w:type="dxa"/>
                </w:tcPr>
                <w:p w:rsidR="00AD4D61" w:rsidRPr="00AD4D61" w:rsidRDefault="00AD4D61" w:rsidP="00AD4D61">
                  <w:pPr>
                    <w:pStyle w:val="NormalWeb"/>
                    <w:spacing w:before="0" w:beforeAutospacing="0" w:after="288" w:afterAutospacing="0" w:line="330" w:lineRule="atLeast"/>
                    <w:rPr>
                      <w:color w:val="3B3B3B"/>
                      <w:sz w:val="22"/>
                      <w:szCs w:val="22"/>
                    </w:rPr>
                  </w:pPr>
                  <w:r w:rsidRPr="00AD4D61">
                    <w:rPr>
                      <w:color w:val="3B3B3B"/>
                      <w:sz w:val="22"/>
                      <w:szCs w:val="22"/>
                    </w:rPr>
                    <w:t>2</w:t>
                  </w:r>
                </w:p>
              </w:tc>
              <w:tc>
                <w:tcPr>
                  <w:tcW w:w="2415" w:type="dxa"/>
                </w:tcPr>
                <w:p w:rsidR="00AD4D61" w:rsidRPr="00AD4D61" w:rsidRDefault="00AD4D61" w:rsidP="00AD4D61">
                  <w:pPr>
                    <w:pStyle w:val="NormalWeb"/>
                    <w:spacing w:before="0" w:beforeAutospacing="0" w:after="288" w:afterAutospacing="0" w:line="330" w:lineRule="atLeast"/>
                    <w:rPr>
                      <w:color w:val="3B3B3B"/>
                      <w:sz w:val="22"/>
                      <w:szCs w:val="22"/>
                    </w:rPr>
                  </w:pPr>
                  <w:r w:rsidRPr="00AD4D61">
                    <w:rPr>
                      <w:color w:val="3B3B3B"/>
                      <w:sz w:val="22"/>
                      <w:szCs w:val="22"/>
                    </w:rPr>
                    <w:t>3</w:t>
                  </w:r>
                </w:p>
              </w:tc>
            </w:tr>
            <w:tr w:rsidR="00AD4D61" w:rsidRPr="00AD4D61" w:rsidTr="008E0F2D">
              <w:tc>
                <w:tcPr>
                  <w:tcW w:w="2414" w:type="dxa"/>
                </w:tcPr>
                <w:p w:rsidR="00AD4D61" w:rsidRPr="00AD4D61" w:rsidRDefault="00AD4D61" w:rsidP="00AD4D61">
                  <w:pPr>
                    <w:pStyle w:val="NormalWeb"/>
                    <w:spacing w:before="0" w:beforeAutospacing="0" w:after="288" w:afterAutospacing="0" w:line="330" w:lineRule="atLeast"/>
                    <w:rPr>
                      <w:color w:val="3B3B3B"/>
                      <w:sz w:val="22"/>
                      <w:szCs w:val="22"/>
                    </w:rPr>
                  </w:pPr>
                  <w:r w:rsidRPr="00AD4D61">
                    <w:rPr>
                      <w:color w:val="3B3B3B"/>
                      <w:sz w:val="22"/>
                      <w:szCs w:val="22"/>
                    </w:rPr>
                    <w:t>По отношение на дефиницията</w:t>
                  </w:r>
                </w:p>
              </w:tc>
              <w:tc>
                <w:tcPr>
                  <w:tcW w:w="2414" w:type="dxa"/>
                </w:tcPr>
                <w:p w:rsidR="00AD4D61" w:rsidRPr="00AD4D61" w:rsidRDefault="00AD4D61" w:rsidP="00AD4D61">
                  <w:pPr>
                    <w:pStyle w:val="NormalWeb"/>
                    <w:spacing w:before="0" w:beforeAutospacing="0" w:after="288" w:afterAutospacing="0" w:line="330" w:lineRule="atLeast"/>
                    <w:rPr>
                      <w:color w:val="3B3B3B"/>
                      <w:sz w:val="22"/>
                      <w:szCs w:val="22"/>
                    </w:rPr>
                  </w:pPr>
                  <w:r w:rsidRPr="00AD4D61">
                    <w:rPr>
                      <w:color w:val="3B3B3B"/>
                      <w:sz w:val="22"/>
                      <w:szCs w:val="22"/>
                    </w:rPr>
                    <w:t>Липсва</w:t>
                  </w:r>
                </w:p>
              </w:tc>
              <w:tc>
                <w:tcPr>
                  <w:tcW w:w="2415" w:type="dxa"/>
                </w:tcPr>
                <w:p w:rsidR="00AD4D61" w:rsidRPr="00AD4D61" w:rsidRDefault="00AD4D61" w:rsidP="00AD4D61">
                  <w:pPr>
                    <w:pStyle w:val="NormalWeb"/>
                    <w:spacing w:before="0" w:beforeAutospacing="0" w:after="288" w:afterAutospacing="0" w:line="330" w:lineRule="atLeast"/>
                    <w:rPr>
                      <w:color w:val="3B3B3B"/>
                      <w:sz w:val="22"/>
                      <w:szCs w:val="22"/>
                    </w:rPr>
                  </w:pPr>
                  <w:r w:rsidRPr="00AD4D61">
                    <w:rPr>
                      <w:color w:val="3B3B3B"/>
                      <w:sz w:val="22"/>
                      <w:szCs w:val="22"/>
                    </w:rPr>
                    <w:t>Изписват дефиницията, като преписват изречението, в което е тя.</w:t>
                  </w:r>
                </w:p>
              </w:tc>
              <w:tc>
                <w:tcPr>
                  <w:tcW w:w="2415" w:type="dxa"/>
                </w:tcPr>
                <w:p w:rsidR="00AD4D61" w:rsidRPr="00AD4D61" w:rsidRDefault="00AD4D61" w:rsidP="00AD4D61">
                  <w:pPr>
                    <w:pStyle w:val="NormalWeb"/>
                    <w:spacing w:before="0" w:beforeAutospacing="0" w:after="288" w:afterAutospacing="0" w:line="330" w:lineRule="atLeast"/>
                    <w:rPr>
                      <w:color w:val="3B3B3B"/>
                      <w:sz w:val="22"/>
                      <w:szCs w:val="22"/>
                    </w:rPr>
                  </w:pPr>
                  <w:r w:rsidRPr="00AD4D61">
                    <w:rPr>
                      <w:color w:val="3B3B3B"/>
                      <w:sz w:val="22"/>
                      <w:szCs w:val="22"/>
                    </w:rPr>
                    <w:t>Изписват дефиницията, като открояват само най-важната част.</w:t>
                  </w:r>
                </w:p>
              </w:tc>
            </w:tr>
            <w:tr w:rsidR="00AD4D61" w:rsidRPr="00AD4D61" w:rsidTr="008E0F2D">
              <w:tc>
                <w:tcPr>
                  <w:tcW w:w="2414" w:type="dxa"/>
                </w:tcPr>
                <w:p w:rsidR="00AD4D61" w:rsidRPr="00AD4D61" w:rsidRDefault="00AD4D61" w:rsidP="00AD4D61">
                  <w:pPr>
                    <w:pStyle w:val="NormalWeb"/>
                    <w:spacing w:before="0" w:beforeAutospacing="0" w:after="288" w:afterAutospacing="0" w:line="330" w:lineRule="atLeast"/>
                    <w:rPr>
                      <w:color w:val="3B3B3B"/>
                      <w:sz w:val="22"/>
                      <w:szCs w:val="22"/>
                    </w:rPr>
                  </w:pPr>
                  <w:r w:rsidRPr="00AD4D61">
                    <w:rPr>
                      <w:color w:val="3B3B3B"/>
                      <w:sz w:val="22"/>
                      <w:szCs w:val="22"/>
                    </w:rPr>
                    <w:t>По отношение на характеристиките</w:t>
                  </w:r>
                </w:p>
              </w:tc>
              <w:tc>
                <w:tcPr>
                  <w:tcW w:w="2414" w:type="dxa"/>
                </w:tcPr>
                <w:p w:rsidR="00AD4D61" w:rsidRPr="00AD4D61" w:rsidRDefault="00AD4D61" w:rsidP="00AD4D61">
                  <w:pPr>
                    <w:pStyle w:val="NormalWeb"/>
                    <w:spacing w:before="0" w:beforeAutospacing="0" w:after="288" w:afterAutospacing="0" w:line="330" w:lineRule="atLeast"/>
                    <w:rPr>
                      <w:color w:val="3B3B3B"/>
                      <w:sz w:val="22"/>
                      <w:szCs w:val="22"/>
                    </w:rPr>
                  </w:pPr>
                  <w:r w:rsidRPr="00AD4D61">
                    <w:rPr>
                      <w:color w:val="3B3B3B"/>
                      <w:sz w:val="22"/>
                      <w:szCs w:val="22"/>
                    </w:rPr>
                    <w:t>Липсва</w:t>
                  </w:r>
                </w:p>
              </w:tc>
              <w:tc>
                <w:tcPr>
                  <w:tcW w:w="2415" w:type="dxa"/>
                </w:tcPr>
                <w:p w:rsidR="00AD4D61" w:rsidRPr="00AD4D61" w:rsidRDefault="00AD4D61" w:rsidP="00AD4D61">
                  <w:pPr>
                    <w:pStyle w:val="NormalWeb"/>
                    <w:spacing w:before="0" w:beforeAutospacing="0" w:after="288" w:afterAutospacing="0" w:line="330" w:lineRule="atLeast"/>
                    <w:rPr>
                      <w:color w:val="3B3B3B"/>
                      <w:sz w:val="22"/>
                      <w:szCs w:val="22"/>
                    </w:rPr>
                  </w:pPr>
                  <w:r w:rsidRPr="00AD4D61">
                    <w:rPr>
                      <w:color w:val="3B3B3B"/>
                      <w:sz w:val="22"/>
                      <w:szCs w:val="22"/>
                    </w:rPr>
                    <w:t>Записва една характеристика</w:t>
                  </w:r>
                </w:p>
              </w:tc>
              <w:tc>
                <w:tcPr>
                  <w:tcW w:w="2415" w:type="dxa"/>
                </w:tcPr>
                <w:p w:rsidR="00AD4D61" w:rsidRPr="00AD4D61" w:rsidRDefault="00AD4D61" w:rsidP="00AD4D61">
                  <w:pPr>
                    <w:pStyle w:val="NormalWeb"/>
                    <w:spacing w:before="0" w:beforeAutospacing="0" w:after="288" w:afterAutospacing="0" w:line="330" w:lineRule="atLeast"/>
                    <w:rPr>
                      <w:color w:val="3B3B3B"/>
                      <w:sz w:val="22"/>
                      <w:szCs w:val="22"/>
                    </w:rPr>
                  </w:pPr>
                  <w:r w:rsidRPr="00AD4D61">
                    <w:rPr>
                      <w:color w:val="3B3B3B"/>
                      <w:sz w:val="22"/>
                      <w:szCs w:val="22"/>
                    </w:rPr>
                    <w:t>Записва две характеристики</w:t>
                  </w:r>
                </w:p>
              </w:tc>
            </w:tr>
            <w:tr w:rsidR="00AD4D61" w:rsidRPr="00AD4D61" w:rsidTr="008E0F2D">
              <w:tc>
                <w:tcPr>
                  <w:tcW w:w="2414" w:type="dxa"/>
                </w:tcPr>
                <w:p w:rsidR="00AD4D61" w:rsidRPr="00AD4D61" w:rsidRDefault="00AD4D61" w:rsidP="00AD4D61">
                  <w:pPr>
                    <w:pStyle w:val="NormalWeb"/>
                    <w:spacing w:before="0" w:beforeAutospacing="0" w:after="288" w:afterAutospacing="0" w:line="330" w:lineRule="atLeast"/>
                    <w:rPr>
                      <w:color w:val="3B3B3B"/>
                      <w:sz w:val="22"/>
                      <w:szCs w:val="22"/>
                    </w:rPr>
                  </w:pPr>
                  <w:r w:rsidRPr="00AD4D61">
                    <w:rPr>
                      <w:color w:val="3B3B3B"/>
                      <w:sz w:val="22"/>
                      <w:szCs w:val="22"/>
                    </w:rPr>
                    <w:t>По отношение на непримера</w:t>
                  </w:r>
                </w:p>
              </w:tc>
              <w:tc>
                <w:tcPr>
                  <w:tcW w:w="2414" w:type="dxa"/>
                </w:tcPr>
                <w:p w:rsidR="00AD4D61" w:rsidRPr="00AD4D61" w:rsidRDefault="00AD4D61" w:rsidP="00AD4D61">
                  <w:pPr>
                    <w:pStyle w:val="NormalWeb"/>
                    <w:spacing w:before="0" w:beforeAutospacing="0" w:after="288" w:afterAutospacing="0" w:line="330" w:lineRule="atLeast"/>
                    <w:rPr>
                      <w:color w:val="3B3B3B"/>
                      <w:sz w:val="22"/>
                      <w:szCs w:val="22"/>
                    </w:rPr>
                  </w:pPr>
                  <w:r w:rsidRPr="00AD4D61">
                    <w:rPr>
                      <w:color w:val="3B3B3B"/>
                      <w:sz w:val="22"/>
                      <w:szCs w:val="22"/>
                    </w:rPr>
                    <w:t>Липсва</w:t>
                  </w:r>
                </w:p>
              </w:tc>
              <w:tc>
                <w:tcPr>
                  <w:tcW w:w="2415" w:type="dxa"/>
                </w:tcPr>
                <w:p w:rsidR="00AD4D61" w:rsidRPr="00AD4D61" w:rsidRDefault="00AD4D61" w:rsidP="00AD4D61">
                  <w:pPr>
                    <w:pStyle w:val="NormalWeb"/>
                    <w:spacing w:before="0" w:beforeAutospacing="0" w:after="288" w:afterAutospacing="0" w:line="330" w:lineRule="atLeast"/>
                    <w:rPr>
                      <w:color w:val="3B3B3B"/>
                      <w:sz w:val="22"/>
                      <w:szCs w:val="22"/>
                    </w:rPr>
                  </w:pPr>
                  <w:r w:rsidRPr="00AD4D61">
                    <w:rPr>
                      <w:color w:val="3B3B3B"/>
                      <w:sz w:val="22"/>
                      <w:szCs w:val="22"/>
                    </w:rPr>
                    <w:t>Описателно обяснява какво не би било пример</w:t>
                  </w:r>
                </w:p>
              </w:tc>
              <w:tc>
                <w:tcPr>
                  <w:tcW w:w="2415" w:type="dxa"/>
                </w:tcPr>
                <w:p w:rsidR="00AD4D61" w:rsidRPr="00AD4D61" w:rsidRDefault="00AD4D61" w:rsidP="00AD4D61">
                  <w:pPr>
                    <w:pStyle w:val="NormalWeb"/>
                    <w:spacing w:before="0" w:beforeAutospacing="0" w:after="288" w:afterAutospacing="0" w:line="330" w:lineRule="atLeast"/>
                    <w:rPr>
                      <w:color w:val="3B3B3B"/>
                      <w:sz w:val="22"/>
                      <w:szCs w:val="22"/>
                    </w:rPr>
                  </w:pPr>
                  <w:r w:rsidRPr="00AD4D61">
                    <w:rPr>
                      <w:color w:val="3B3B3B"/>
                      <w:sz w:val="22"/>
                      <w:szCs w:val="22"/>
                    </w:rPr>
                    <w:t xml:space="preserve">Записва думата, която е непример </w:t>
                  </w:r>
                </w:p>
              </w:tc>
            </w:tr>
            <w:tr w:rsidR="00AD4D61" w:rsidRPr="00AD4D61" w:rsidTr="008E0F2D">
              <w:tc>
                <w:tcPr>
                  <w:tcW w:w="2414" w:type="dxa"/>
                </w:tcPr>
                <w:p w:rsidR="00AD4D61" w:rsidRPr="00AD4D61" w:rsidRDefault="00AD4D61" w:rsidP="00AD4D61">
                  <w:pPr>
                    <w:pStyle w:val="NormalWeb"/>
                    <w:spacing w:before="0" w:beforeAutospacing="0" w:after="288" w:afterAutospacing="0" w:line="330" w:lineRule="atLeast"/>
                    <w:rPr>
                      <w:color w:val="3B3B3B"/>
                      <w:sz w:val="22"/>
                      <w:szCs w:val="22"/>
                    </w:rPr>
                  </w:pPr>
                  <w:r w:rsidRPr="00AD4D61">
                    <w:rPr>
                      <w:color w:val="3B3B3B"/>
                      <w:sz w:val="22"/>
                      <w:szCs w:val="22"/>
                    </w:rPr>
                    <w:t>По отношение на чертаенето на модела</w:t>
                  </w:r>
                </w:p>
              </w:tc>
              <w:tc>
                <w:tcPr>
                  <w:tcW w:w="2414" w:type="dxa"/>
                </w:tcPr>
                <w:p w:rsidR="00AD4D61" w:rsidRPr="00AD4D61" w:rsidRDefault="00AD4D61" w:rsidP="00AD4D61">
                  <w:pPr>
                    <w:pStyle w:val="NormalWeb"/>
                    <w:spacing w:before="0" w:beforeAutospacing="0" w:after="288" w:afterAutospacing="0" w:line="330" w:lineRule="atLeast"/>
                    <w:rPr>
                      <w:color w:val="3B3B3B"/>
                      <w:sz w:val="22"/>
                      <w:szCs w:val="22"/>
                    </w:rPr>
                  </w:pPr>
                  <w:r w:rsidRPr="00AD4D61">
                    <w:rPr>
                      <w:color w:val="3B3B3B"/>
                      <w:sz w:val="22"/>
                      <w:szCs w:val="22"/>
                    </w:rPr>
                    <w:t>Начертава модела, но липсва повече от 1 елемент/Не чертае модела.</w:t>
                  </w:r>
                </w:p>
              </w:tc>
              <w:tc>
                <w:tcPr>
                  <w:tcW w:w="2415" w:type="dxa"/>
                </w:tcPr>
                <w:p w:rsidR="00AD4D61" w:rsidRPr="00AD4D61" w:rsidRDefault="00AD4D61" w:rsidP="00AD4D61">
                  <w:pPr>
                    <w:pStyle w:val="NormalWeb"/>
                    <w:spacing w:before="0" w:beforeAutospacing="0" w:after="288" w:afterAutospacing="0" w:line="330" w:lineRule="atLeast"/>
                    <w:rPr>
                      <w:color w:val="3B3B3B"/>
                      <w:sz w:val="22"/>
                      <w:szCs w:val="22"/>
                    </w:rPr>
                  </w:pPr>
                  <w:r w:rsidRPr="00AD4D61">
                    <w:rPr>
                      <w:color w:val="3B3B3B"/>
                      <w:sz w:val="22"/>
                      <w:szCs w:val="22"/>
                    </w:rPr>
                    <w:t>Начертава модела, но не именува частите/Начертава модела, но пропуска 1 елемент</w:t>
                  </w:r>
                </w:p>
              </w:tc>
              <w:tc>
                <w:tcPr>
                  <w:tcW w:w="2415" w:type="dxa"/>
                </w:tcPr>
                <w:p w:rsidR="00AD4D61" w:rsidRPr="00AD4D61" w:rsidRDefault="00AD4D61" w:rsidP="00AD4D61">
                  <w:pPr>
                    <w:pStyle w:val="NormalWeb"/>
                    <w:spacing w:before="0" w:beforeAutospacing="0" w:after="288" w:afterAutospacing="0" w:line="330" w:lineRule="atLeast"/>
                    <w:rPr>
                      <w:color w:val="3B3B3B"/>
                      <w:sz w:val="22"/>
                      <w:szCs w:val="22"/>
                    </w:rPr>
                  </w:pPr>
                  <w:r w:rsidRPr="00AD4D61">
                    <w:rPr>
                      <w:color w:val="3B3B3B"/>
                      <w:sz w:val="22"/>
                      <w:szCs w:val="22"/>
                    </w:rPr>
                    <w:t>Начертава модела и назовава петте му части.</w:t>
                  </w:r>
                </w:p>
              </w:tc>
            </w:tr>
          </w:tbl>
          <w:p w:rsidR="00AD4D61" w:rsidRPr="00AD4D61" w:rsidRDefault="00AD4D61" w:rsidP="00AD4D61">
            <w:pPr>
              <w:rPr>
                <w:rFonts w:ascii="Times New Roman" w:hAnsi="Times New Roman" w:cs="Times New Roman"/>
              </w:rPr>
            </w:pPr>
          </w:p>
        </w:tc>
        <w:tc>
          <w:tcPr>
            <w:tcW w:w="1999" w:type="dxa"/>
          </w:tcPr>
          <w:p w:rsidR="003C3D00" w:rsidRPr="00AD4D61" w:rsidRDefault="003C3D00">
            <w:pPr>
              <w:rPr>
                <w:rFonts w:ascii="Times New Roman" w:hAnsi="Times New Roman" w:cs="Times New Roman"/>
              </w:rPr>
            </w:pPr>
          </w:p>
          <w:p w:rsidR="00AD4D61" w:rsidRPr="00AD4D61" w:rsidRDefault="00AD4D61">
            <w:pPr>
              <w:rPr>
                <w:rFonts w:ascii="Times New Roman" w:hAnsi="Times New Roman" w:cs="Times New Roman"/>
              </w:rPr>
            </w:pPr>
          </w:p>
          <w:p w:rsidR="00AD4D61" w:rsidRPr="00AD4D61" w:rsidRDefault="00AD4D61">
            <w:pPr>
              <w:rPr>
                <w:rFonts w:ascii="Times New Roman" w:hAnsi="Times New Roman" w:cs="Times New Roman"/>
              </w:rPr>
            </w:pPr>
            <w:r w:rsidRPr="00AD4D61">
              <w:rPr>
                <w:rFonts w:ascii="Times New Roman" w:hAnsi="Times New Roman" w:cs="Times New Roman"/>
              </w:rPr>
              <w:t>Разпечатан текст за всеки ученик</w:t>
            </w:r>
          </w:p>
        </w:tc>
      </w:tr>
      <w:tr w:rsidR="003C3D00" w:rsidRPr="00AD4D61" w:rsidTr="00AD4D61">
        <w:tc>
          <w:tcPr>
            <w:tcW w:w="7063" w:type="dxa"/>
          </w:tcPr>
          <w:p w:rsidR="003C3D00" w:rsidRPr="00AD4D61" w:rsidRDefault="003C3D00">
            <w:pPr>
              <w:rPr>
                <w:rFonts w:ascii="Times New Roman" w:hAnsi="Times New Roman" w:cs="Times New Roman"/>
              </w:rPr>
            </w:pPr>
          </w:p>
          <w:p w:rsidR="00AD4D61" w:rsidRPr="00AD4D61" w:rsidRDefault="00AD4D61">
            <w:pPr>
              <w:rPr>
                <w:rFonts w:ascii="Times New Roman" w:hAnsi="Times New Roman" w:cs="Times New Roman"/>
                <w:b/>
              </w:rPr>
            </w:pPr>
            <w:r w:rsidRPr="00AD4D61">
              <w:rPr>
                <w:rFonts w:ascii="Times New Roman" w:hAnsi="Times New Roman" w:cs="Times New Roman"/>
                <w:b/>
              </w:rPr>
              <w:t>Край на урока/Финална дискусия</w:t>
            </w:r>
          </w:p>
          <w:p w:rsidR="00AD4D61" w:rsidRPr="00AD4D61" w:rsidRDefault="00AD4D61">
            <w:pPr>
              <w:rPr>
                <w:rFonts w:ascii="Times New Roman" w:hAnsi="Times New Roman" w:cs="Times New Roman"/>
              </w:rPr>
            </w:pPr>
            <w:r w:rsidRPr="00AD4D61">
              <w:rPr>
                <w:rFonts w:ascii="Times New Roman" w:hAnsi="Times New Roman" w:cs="Times New Roman"/>
              </w:rPr>
              <w:t xml:space="preserve">Може да се разсъждава над тази тема: </w:t>
            </w:r>
            <w:r w:rsidRPr="00AD4D61">
              <w:rPr>
                <w:rFonts w:ascii="Times New Roman" w:hAnsi="Times New Roman" w:cs="Times New Roman"/>
              </w:rPr>
              <w:t>Този модел не ви ли прилича на начина, по който пишем съчиненията си по литература? Даваме твърдението си, обясняваме го, даваме цитат от текста и го сравняваме с творчеството на друт автор, който е писал различни неща.</w:t>
            </w:r>
          </w:p>
        </w:tc>
        <w:tc>
          <w:tcPr>
            <w:tcW w:w="1999" w:type="dxa"/>
          </w:tcPr>
          <w:p w:rsidR="003C3D00" w:rsidRPr="00AD4D61" w:rsidRDefault="003C3D00">
            <w:pPr>
              <w:rPr>
                <w:rFonts w:ascii="Times New Roman" w:hAnsi="Times New Roman" w:cs="Times New Roman"/>
              </w:rPr>
            </w:pPr>
          </w:p>
        </w:tc>
      </w:tr>
    </w:tbl>
    <w:p w:rsidR="003C3D00" w:rsidRPr="00AD4D61" w:rsidRDefault="003C3D00">
      <w:pPr>
        <w:rPr>
          <w:rFonts w:ascii="Times New Roman" w:hAnsi="Times New Roman" w:cs="Times New Roman"/>
        </w:rPr>
      </w:pPr>
    </w:p>
    <w:sectPr w:rsidR="003C3D00" w:rsidRPr="00AD4D6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1C432BB"/>
    <w:multiLevelType w:val="hybridMultilevel"/>
    <w:tmpl w:val="5F5A9088"/>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3D00"/>
    <w:rsid w:val="003C3D00"/>
    <w:rsid w:val="00965C15"/>
    <w:rsid w:val="00AD4D61"/>
    <w:rsid w:val="00CC77FA"/>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DA95D"/>
  <w15:chartTrackingRefBased/>
  <w15:docId w15:val="{B3463BF2-A60A-4665-97F9-195B68540B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C3D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65C15"/>
    <w:pPr>
      <w:spacing w:after="200" w:line="276" w:lineRule="auto"/>
      <w:ind w:left="720"/>
      <w:contextualSpacing/>
    </w:pPr>
    <w:rPr>
      <w:rFonts w:ascii="Calibri" w:eastAsia="Calibri" w:hAnsi="Calibri" w:cs="Times New Roman"/>
    </w:rPr>
  </w:style>
  <w:style w:type="paragraph" w:styleId="NormalWeb">
    <w:name w:val="Normal (Web)"/>
    <w:basedOn w:val="Normal"/>
    <w:rsid w:val="00965C15"/>
    <w:pPr>
      <w:spacing w:before="100" w:beforeAutospacing="1" w:after="100" w:afterAutospacing="1" w:line="240" w:lineRule="auto"/>
    </w:pPr>
    <w:rPr>
      <w:rFonts w:ascii="Times New Roman" w:eastAsia="Times New Roman" w:hAnsi="Times New Roman" w:cs="Times New Roman"/>
      <w:sz w:val="24"/>
      <w:szCs w:val="24"/>
      <w:lang w:eastAsia="bg-BG"/>
    </w:rPr>
  </w:style>
  <w:style w:type="character" w:customStyle="1" w:styleId="apple-converted-space">
    <w:name w:val="apple-converted-space"/>
    <w:basedOn w:val="DefaultParagraphFont"/>
    <w:rsid w:val="00965C15"/>
  </w:style>
  <w:style w:type="character" w:styleId="Strong">
    <w:name w:val="Strong"/>
    <w:basedOn w:val="DefaultParagraphFont"/>
    <w:qFormat/>
    <w:rsid w:val="00965C1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nauka.bg/a/%D0%B3%D1%80%D0%BE%D0%B1%D0%B8%D1%89%D0%B5-%D0%B7%D0%B0-%D0%B8%D0%BC%D0%BF%D0%B5%D1%80%D0%B8%D0%B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4</Pages>
  <Words>1322</Words>
  <Characters>7542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Preslava</dc:creator>
  <cp:keywords/>
  <dc:description/>
  <cp:lastModifiedBy>Preslava</cp:lastModifiedBy>
  <cp:revision>1</cp:revision>
  <dcterms:created xsi:type="dcterms:W3CDTF">2017-01-06T16:33:00Z</dcterms:created>
  <dcterms:modified xsi:type="dcterms:W3CDTF">2017-01-06T17:02:00Z</dcterms:modified>
</cp:coreProperties>
</file>